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0530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7" o:title=""/>
          </v:shape>
        </w:pict>
      </w:r>
      <w:r>
        <w:t xml:space="preserve"> 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E798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 w:rsidR="00D6746D">
        <w:rPr>
          <w:sz w:val="28"/>
          <w:szCs w:val="28"/>
        </w:rPr>
        <w:t xml:space="preserve"> </w:t>
      </w:r>
      <w:r w:rsidR="009714B4">
        <w:rPr>
          <w:sz w:val="28"/>
          <w:szCs w:val="28"/>
        </w:rPr>
        <w:t xml:space="preserve"> </w:t>
      </w:r>
      <w:r w:rsidR="00F4757C">
        <w:rPr>
          <w:sz w:val="28"/>
          <w:szCs w:val="28"/>
        </w:rPr>
        <w:t>20 мая</w:t>
      </w:r>
      <w:r w:rsidR="009714B4">
        <w:rPr>
          <w:sz w:val="28"/>
          <w:szCs w:val="28"/>
        </w:rPr>
        <w:t xml:space="preserve"> </w:t>
      </w:r>
      <w:r w:rsidR="006145E2" w:rsidRPr="007A7EF6"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>20</w:t>
      </w:r>
      <w:r w:rsidR="009714B4">
        <w:rPr>
          <w:sz w:val="28"/>
          <w:szCs w:val="28"/>
        </w:rPr>
        <w:t>20</w:t>
      </w:r>
      <w:r w:rsidRPr="007A7EF6">
        <w:rPr>
          <w:sz w:val="28"/>
          <w:szCs w:val="28"/>
        </w:rPr>
        <w:t xml:space="preserve"> г. №</w:t>
      </w:r>
      <w:r w:rsidR="007A7EF6" w:rsidRPr="007A7EF6">
        <w:rPr>
          <w:sz w:val="28"/>
          <w:szCs w:val="28"/>
        </w:rPr>
        <w:t xml:space="preserve"> </w:t>
      </w:r>
      <w:r w:rsidR="00F4757C">
        <w:rPr>
          <w:sz w:val="28"/>
          <w:szCs w:val="28"/>
        </w:rPr>
        <w:t>630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64436F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от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27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20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249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администрация 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 малого и среднего предпринимательства в Устьянском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>, и изложить в новой редакции согласно Приложению № 1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Разместить на официальном сайте администрации Устьянского муниципального района Архангельской области и в ГАС «Управление».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экономике, промышленности и АПК </w:t>
      </w:r>
      <w:r>
        <w:rPr>
          <w:rFonts w:ascii="Times New Roman" w:hAnsi="Times New Roman" w:cs="Times New Roman"/>
          <w:b w:val="0"/>
          <w:sz w:val="26"/>
          <w:szCs w:val="26"/>
        </w:rPr>
        <w:t>С.А. Молчановского.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5447D" w:rsidRDefault="0003434A" w:rsidP="0085447D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85447D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544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3C1D">
        <w:rPr>
          <w:rFonts w:ascii="Times New Roman" w:hAnsi="Times New Roman"/>
          <w:b/>
          <w:bCs/>
          <w:sz w:val="28"/>
          <w:szCs w:val="28"/>
        </w:rPr>
        <w:t xml:space="preserve">Устьянского </w:t>
      </w:r>
      <w:r w:rsidR="0085447D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CF3C1D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85447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5447D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5447D">
        <w:rPr>
          <w:rFonts w:ascii="Times New Roman" w:hAnsi="Times New Roman"/>
          <w:b/>
          <w:bCs/>
          <w:sz w:val="28"/>
          <w:szCs w:val="28"/>
        </w:rPr>
        <w:t xml:space="preserve">.А. </w:t>
      </w:r>
      <w:r>
        <w:rPr>
          <w:rFonts w:ascii="Times New Roman" w:hAnsi="Times New Roman"/>
          <w:b/>
          <w:bCs/>
          <w:sz w:val="28"/>
          <w:szCs w:val="28"/>
        </w:rPr>
        <w:t>Хоробров</w:t>
      </w: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BB1131" w:rsidRDefault="00A67E07" w:rsidP="00A67E07">
      <w:pPr>
        <w:jc w:val="right"/>
        <w:rPr>
          <w:b/>
        </w:rPr>
      </w:pPr>
      <w:r w:rsidRPr="00BB1131">
        <w:t xml:space="preserve">от </w:t>
      </w:r>
      <w:r w:rsidR="00BB5E55" w:rsidRPr="00BB1131">
        <w:t xml:space="preserve"> </w:t>
      </w:r>
      <w:r w:rsidR="00BB1131" w:rsidRPr="00BB1131">
        <w:t xml:space="preserve">20 </w:t>
      </w:r>
      <w:r w:rsidR="0077373D" w:rsidRPr="00BB1131">
        <w:t>мая</w:t>
      </w:r>
      <w:r w:rsidR="00C867FC" w:rsidRPr="00BB1131">
        <w:t xml:space="preserve"> </w:t>
      </w:r>
      <w:r w:rsidR="0077373D" w:rsidRPr="00BB1131">
        <w:t>2020</w:t>
      </w:r>
      <w:r w:rsidRPr="00BB1131">
        <w:t xml:space="preserve"> года №</w:t>
      </w:r>
      <w:r w:rsidR="00450890" w:rsidRPr="00BB1131">
        <w:t xml:space="preserve"> </w:t>
      </w:r>
      <w:r w:rsidR="00BB1131" w:rsidRPr="00BB1131">
        <w:t>630</w:t>
      </w:r>
      <w:r w:rsidRPr="00BB1131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«Ки</w:t>
            </w:r>
            <w:r w:rsidR="003518BF">
              <w:t>з</w:t>
            </w:r>
            <w:r>
              <w:t>емское»;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E97614" w:rsidRPr="009D5572">
              <w:t>265</w:t>
            </w:r>
            <w:r w:rsidR="00193540" w:rsidRPr="009D5572">
              <w:t xml:space="preserve"> ед., 2023г – </w:t>
            </w:r>
            <w:r w:rsidR="00E97614" w:rsidRPr="009D5572">
              <w:t>270</w:t>
            </w:r>
            <w:r w:rsidR="00193540" w:rsidRPr="009D5572">
              <w:t xml:space="preserve"> ед., 2024г – </w:t>
            </w:r>
            <w:r w:rsidR="00E97614" w:rsidRPr="009D5572">
              <w:t>275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3B4B3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</w:t>
            </w:r>
            <w:r w:rsidR="00795BEF">
              <w:t>70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795BEF">
              <w:t>4</w:t>
            </w:r>
            <w:r w:rsidR="003B4B39">
              <w:t>/71</w:t>
            </w:r>
            <w:r w:rsidR="004D3651" w:rsidRPr="009D5572">
              <w:t xml:space="preserve">, 2023г – </w:t>
            </w:r>
            <w:r w:rsidR="00E25489" w:rsidRPr="009D5572">
              <w:t>1</w:t>
            </w:r>
            <w:r w:rsidR="003B4B39">
              <w:t>4/72</w:t>
            </w:r>
            <w:r w:rsidR="004D3651" w:rsidRPr="009D5572">
              <w:t xml:space="preserve">, 2024г – </w:t>
            </w:r>
            <w:r w:rsidR="00E25489" w:rsidRPr="009D5572">
              <w:t>1</w:t>
            </w:r>
            <w:r w:rsidR="003B4B39">
              <w:t>4/73</w:t>
            </w:r>
            <w:r w:rsidR="00E25489" w:rsidRPr="009D5572">
              <w:t>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9C0C47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</w:t>
            </w:r>
          </w:p>
          <w:p w:rsidR="002110F9" w:rsidRDefault="009C0C47" w:rsidP="00AC0524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="0004541B" w:rsidRPr="00C15F18">
              <w:t xml:space="preserve">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 в Устьянском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EA7323" w:rsidRDefault="00D523E7" w:rsidP="00EA73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A7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23" w:rsidRPr="00D063B6">
              <w:rPr>
                <w:rFonts w:ascii="Times New Roman" w:hAnsi="Times New Roman" w:cs="Times New Roman"/>
              </w:rPr>
              <w:t xml:space="preserve">(www.umsp.ru) </w:t>
            </w:r>
            <w:r w:rsidR="00EA7323"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Pr="00FF280D" w:rsidRDefault="005E21C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>2. Улучшение условий для бизнеса Устьянского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дприятий 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 Устьянского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монопрофильным муниципальным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образованиям «Октябрьское» и «Киземское» в разработке и реализации программ господдержки субъектам малого и 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Устьянского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Устьянского района о программах льготного кредитования, в том числе АО «МСП Банк» и Микрокредитной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  <w:p w:rsidR="00664D66" w:rsidRPr="00922500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6114BE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EB1447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6205BB" w:rsidRPr="00EB1447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C81498" w:rsidRPr="00EB1447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EB14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C81498" w:rsidRDefault="0004541B" w:rsidP="006205BB">
            <w:pPr>
              <w:autoSpaceDE w:val="0"/>
              <w:autoSpaceDN w:val="0"/>
              <w:adjustRightInd w:val="0"/>
              <w:jc w:val="both"/>
            </w:pPr>
            <w:r w:rsidRPr="00EB1447">
              <w:t xml:space="preserve">средства федерального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D8203A" w:rsidRPr="00EB1447">
              <w:t>0</w:t>
            </w:r>
            <w:r w:rsidR="00394C8F" w:rsidRPr="00EB1447">
              <w:t xml:space="preserve"> </w:t>
            </w:r>
            <w:r w:rsidRPr="00EB1447">
              <w:t xml:space="preserve"> рубл</w:t>
            </w:r>
            <w:r w:rsidR="00D8203A" w:rsidRPr="00EB1447">
              <w:t>ей</w:t>
            </w:r>
            <w:r w:rsidRPr="00EB1447">
              <w:t xml:space="preserve">;                                     </w:t>
            </w:r>
            <w:r w:rsidRPr="00EB1447">
              <w:br/>
              <w:t xml:space="preserve">средства областного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D8203A" w:rsidRPr="00EB1447">
              <w:t>0</w:t>
            </w:r>
            <w:r w:rsidR="006F2C90" w:rsidRPr="00EB1447">
              <w:t xml:space="preserve"> </w:t>
            </w:r>
            <w:r w:rsidRPr="00EB1447">
              <w:t>рубл</w:t>
            </w:r>
            <w:r w:rsidR="00D027E7" w:rsidRPr="00EB1447">
              <w:t>ей</w:t>
            </w:r>
            <w:r w:rsidRPr="00EB1447">
              <w:t xml:space="preserve">;   </w:t>
            </w:r>
            <w:r w:rsidRPr="00EB1447">
              <w:br/>
              <w:t xml:space="preserve">средства местного (районного) бюджета </w:t>
            </w:r>
            <w:r w:rsidR="00296F85" w:rsidRPr="00EB1447">
              <w:t>–</w:t>
            </w:r>
            <w:r w:rsidRPr="00EB1447">
              <w:t xml:space="preserve"> </w:t>
            </w:r>
            <w:r w:rsidR="006205BB" w:rsidRPr="00EB1447">
              <w:t>1 3</w:t>
            </w:r>
            <w:r w:rsidR="00D8203A" w:rsidRPr="00EB1447">
              <w:t>00</w:t>
            </w:r>
            <w:r w:rsidR="00C170E1" w:rsidRPr="00EB1447">
              <w:t> </w:t>
            </w:r>
            <w:r w:rsidR="00DC499D" w:rsidRPr="00EB1447">
              <w:t>000</w:t>
            </w:r>
            <w:r w:rsidR="00C170E1" w:rsidRPr="00EB1447">
              <w:t>,00</w:t>
            </w:r>
            <w:r w:rsidRPr="00EB1447">
              <w:t xml:space="preserve"> рублей; </w:t>
            </w:r>
            <w:r w:rsidRPr="00EB1447">
              <w:br/>
              <w:t xml:space="preserve">внебюджетные источники - </w:t>
            </w:r>
            <w:r w:rsidR="00296F85" w:rsidRPr="00EB1447">
              <w:t>0</w:t>
            </w:r>
            <w:r w:rsidR="006F2C90" w:rsidRPr="00EB1447">
              <w:t xml:space="preserve"> </w:t>
            </w:r>
            <w:r w:rsidRPr="00EB1447">
              <w:t>рублей</w:t>
            </w:r>
            <w:r w:rsidRPr="00C81498">
              <w:t xml:space="preserve">       </w:t>
            </w:r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- </w:t>
            </w:r>
            <w:r>
              <w:t>1325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4831B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</w:t>
            </w:r>
            <w:r w:rsidR="004831B6">
              <w:t>4</w:t>
            </w:r>
            <w:r>
              <w:t xml:space="preserve"> перечней </w:t>
            </w:r>
            <w:r w:rsidR="004831B6">
              <w:t>/ 73</w:t>
            </w:r>
            <w:r>
              <w:t xml:space="preserve"> объект</w:t>
            </w:r>
            <w:r w:rsidR="004831B6">
              <w:t>а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="00D93C08" w:rsidRPr="00C15F18">
              <w:lastRenderedPageBreak/>
              <w:t>контроля</w:t>
            </w:r>
            <w:r w:rsidR="00557F4E">
              <w:t xml:space="preserve"> </w:t>
            </w:r>
            <w:r w:rsidR="00D93C08" w:rsidRPr="00C15F18">
              <w:t xml:space="preserve">за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A92F8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lastRenderedPageBreak/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 xml:space="preserve">район» от </w:t>
            </w:r>
            <w:r w:rsidR="00A92F8E">
              <w:t>27</w:t>
            </w:r>
            <w:r w:rsidRPr="00A507A0">
              <w:t xml:space="preserve"> </w:t>
            </w:r>
            <w:r w:rsidR="00A92F8E">
              <w:t>февраля</w:t>
            </w:r>
            <w:r w:rsidRPr="00A507A0">
              <w:t xml:space="preserve"> 20</w:t>
            </w:r>
            <w:r w:rsidR="00A92F8E">
              <w:t>20</w:t>
            </w:r>
            <w:r w:rsidRPr="00A507A0">
              <w:t xml:space="preserve"> года № </w:t>
            </w:r>
            <w:r w:rsidR="00A92F8E">
              <w:t>249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Малый и средний бизнес - это важная составляющая развития современной экономики, источник доходов и </w:t>
      </w:r>
      <w:r w:rsidRPr="008B7FDB">
        <w:t xml:space="preserve">сфера </w:t>
      </w:r>
      <w:r w:rsidR="008B7FDB" w:rsidRPr="008B7FDB">
        <w:t>т</w:t>
      </w:r>
      <w:r w:rsidR="008B7FDB">
        <w:t>рудоустройства</w:t>
      </w:r>
      <w:r w:rsidRPr="00C573FE"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lastRenderedPageBreak/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>тимулирование развития предпринимательства в Устьянском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>Обеспечение доступа субъектов МСП Устьянского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r w:rsidR="00B575D0" w:rsidRPr="001B3AEA">
        <w:t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арендо-имущественных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EC532A">
        <w:t xml:space="preserve">Приоритетными направлениями развития малого </w:t>
      </w:r>
      <w:r w:rsidR="00EC532A" w:rsidRPr="00EC532A">
        <w:t xml:space="preserve">и среднего </w:t>
      </w:r>
      <w:r w:rsidR="005F7412" w:rsidRPr="00EC532A">
        <w:t>предпринимательства являются:</w:t>
      </w:r>
      <w:r w:rsidR="005F7412" w:rsidRPr="001B3AEA">
        <w:t xml:space="preserve">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027C" w:rsidRPr="00CA7506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6E3FF1">
        <w:rPr>
          <w:rFonts w:ascii="Times New Roman" w:hAnsi="Times New Roman" w:cs="Times New Roman"/>
          <w:sz w:val="24"/>
        </w:rPr>
        <w:t xml:space="preserve"> </w:t>
      </w:r>
    </w:p>
    <w:p w:rsidR="006E3FF1" w:rsidRPr="00771C8C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C8C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6E3FF1" w:rsidRPr="001F00BB" w:rsidRDefault="006E3FF1" w:rsidP="006E3FF1">
      <w:pPr>
        <w:pStyle w:val="21"/>
        <w:rPr>
          <w:szCs w:val="28"/>
        </w:rPr>
      </w:pPr>
      <w:r w:rsidRPr="00771C8C">
        <w:rPr>
          <w:szCs w:val="28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</w:t>
      </w:r>
      <w:r w:rsidRPr="00771C8C">
        <w:t>ответственного исполнителя</w:t>
      </w:r>
      <w:r w:rsidRPr="00771C8C">
        <w:rPr>
          <w:szCs w:val="28"/>
        </w:rPr>
        <w:t xml:space="preserve"> Программы.</w:t>
      </w:r>
      <w:r w:rsidRPr="001F00BB">
        <w:rPr>
          <w:szCs w:val="28"/>
        </w:rPr>
        <w:t xml:space="preserve"> </w:t>
      </w:r>
    </w:p>
    <w:p w:rsidR="00885DB3" w:rsidRPr="00245761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0CF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85D6F" w:rsidRP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6621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0CF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</w:t>
      </w:r>
      <w:r w:rsidR="000E6621">
        <w:rPr>
          <w:rFonts w:ascii="Times New Roman" w:hAnsi="Times New Roman" w:cs="Times New Roman"/>
          <w:sz w:val="24"/>
          <w:szCs w:val="24"/>
        </w:rPr>
        <w:t>:</w:t>
      </w:r>
    </w:p>
    <w:p w:rsidR="00DA0D3C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="002A417D" w:rsidRPr="003D40CF">
        <w:rPr>
          <w:rFonts w:ascii="Times New Roman" w:hAnsi="Times New Roman" w:cs="Times New Roman"/>
          <w:sz w:val="24"/>
          <w:szCs w:val="24"/>
        </w:rPr>
        <w:t>остоянное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 </w:t>
      </w:r>
      <w:r w:rsidR="004505DC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консультирование субъектов малого и среднего предпринимательства </w:t>
      </w:r>
      <w:r w:rsidR="007C64E1" w:rsidRPr="003D40CF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798C" w:rsidRPr="003D40CF">
        <w:rPr>
          <w:rFonts w:ascii="Times New Roman" w:hAnsi="Times New Roman" w:cs="Times New Roman"/>
          <w:sz w:val="24"/>
          <w:szCs w:val="24"/>
        </w:rPr>
        <w:t xml:space="preserve">ведения предпринимательской деятельности, </w:t>
      </w:r>
      <w:r w:rsidR="000F0737">
        <w:rPr>
          <w:rFonts w:ascii="Times New Roman" w:hAnsi="Times New Roman" w:cs="Times New Roman"/>
          <w:sz w:val="24"/>
          <w:szCs w:val="24"/>
        </w:rPr>
        <w:t>п</w:t>
      </w:r>
      <w:r w:rsidR="00DA0D3C">
        <w:rPr>
          <w:rFonts w:ascii="Times New Roman" w:hAnsi="Times New Roman" w:cs="Times New Roman"/>
          <w:sz w:val="24"/>
          <w:szCs w:val="24"/>
        </w:rPr>
        <w:t xml:space="preserve">о </w:t>
      </w:r>
      <w:r w:rsidR="001D2B07" w:rsidRPr="003D40CF">
        <w:rPr>
          <w:rFonts w:ascii="Times New Roman" w:hAnsi="Times New Roman" w:cs="Times New Roman"/>
          <w:sz w:val="24"/>
          <w:szCs w:val="24"/>
        </w:rPr>
        <w:t>программа</w:t>
      </w:r>
      <w:r w:rsidR="000F0737">
        <w:rPr>
          <w:rFonts w:ascii="Times New Roman" w:hAnsi="Times New Roman" w:cs="Times New Roman"/>
          <w:sz w:val="24"/>
          <w:szCs w:val="24"/>
        </w:rPr>
        <w:t>м</w:t>
      </w:r>
      <w:r w:rsidR="001D2B07" w:rsidRPr="003D40CF">
        <w:rPr>
          <w:rFonts w:ascii="Times New Roman" w:hAnsi="Times New Roman" w:cs="Times New Roman"/>
          <w:sz w:val="24"/>
          <w:szCs w:val="24"/>
        </w:rPr>
        <w:t xml:space="preserve"> господдержки</w:t>
      </w:r>
      <w:r w:rsidR="00C85A1B">
        <w:rPr>
          <w:rFonts w:ascii="Times New Roman" w:hAnsi="Times New Roman" w:cs="Times New Roman"/>
          <w:sz w:val="24"/>
          <w:szCs w:val="24"/>
        </w:rPr>
        <w:t xml:space="preserve">, </w:t>
      </w:r>
      <w:r w:rsidR="001C1675">
        <w:rPr>
          <w:rFonts w:ascii="Times New Roman" w:hAnsi="Times New Roman" w:cs="Times New Roman"/>
          <w:sz w:val="24"/>
          <w:szCs w:val="24"/>
        </w:rPr>
        <w:t xml:space="preserve">(так же </w:t>
      </w:r>
      <w:r w:rsidR="00C85A1B">
        <w:rPr>
          <w:rFonts w:ascii="Times New Roman" w:hAnsi="Times New Roman" w:cs="Times New Roman"/>
          <w:sz w:val="24"/>
          <w:szCs w:val="24"/>
        </w:rPr>
        <w:t>монопрофильны</w:t>
      </w:r>
      <w:r w:rsidR="001C1675">
        <w:rPr>
          <w:rFonts w:ascii="Times New Roman" w:hAnsi="Times New Roman" w:cs="Times New Roman"/>
          <w:sz w:val="24"/>
          <w:szCs w:val="24"/>
        </w:rPr>
        <w:t>ми</w:t>
      </w:r>
      <w:r w:rsidR="00C85A1B">
        <w:rPr>
          <w:rFonts w:ascii="Times New Roman" w:hAnsi="Times New Roman" w:cs="Times New Roman"/>
          <w:sz w:val="24"/>
          <w:szCs w:val="24"/>
        </w:rPr>
        <w:t xml:space="preserve"> МО «Октябрьское» и «Киземское»</w:t>
      </w:r>
      <w:r w:rsidR="001C1675">
        <w:rPr>
          <w:rFonts w:ascii="Times New Roman" w:hAnsi="Times New Roman" w:cs="Times New Roman"/>
          <w:sz w:val="24"/>
          <w:szCs w:val="24"/>
        </w:rPr>
        <w:t>)</w:t>
      </w:r>
      <w:r w:rsidR="000F0737">
        <w:rPr>
          <w:rFonts w:ascii="Times New Roman" w:hAnsi="Times New Roman" w:cs="Times New Roman"/>
          <w:sz w:val="24"/>
          <w:szCs w:val="24"/>
        </w:rPr>
        <w:t>;</w:t>
      </w:r>
    </w:p>
    <w:p w:rsidR="00CD2D6A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85DB3" w:rsidRPr="003D40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технических заданий для размещения </w:t>
      </w:r>
      <w:r w:rsidR="004A4D0E" w:rsidRPr="003D40CF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информации на сайте: </w:t>
      </w:r>
      <w:hyperlink r:id="rId9" w:history="1"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umsp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E4911">
        <w:rPr>
          <w:rFonts w:ascii="Times New Roman" w:hAnsi="Times New Roman" w:cs="Times New Roman"/>
          <w:sz w:val="24"/>
          <w:szCs w:val="24"/>
        </w:rPr>
        <w:t>;</w:t>
      </w:r>
      <w:r w:rsidR="0039490F" w:rsidRPr="003D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1C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A417D" w:rsidRPr="003D40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E4911">
        <w:rPr>
          <w:rFonts w:ascii="Times New Roman" w:hAnsi="Times New Roman" w:cs="Times New Roman"/>
          <w:sz w:val="24"/>
          <w:szCs w:val="24"/>
        </w:rPr>
        <w:t xml:space="preserve">Управлением АПК, торговли и общественного питания </w:t>
      </w:r>
      <w:r w:rsidR="002728CC" w:rsidRPr="003D40CF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3D40CF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3D40CF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15465C" w:rsidRPr="00771C8C">
        <w:rPr>
          <w:rFonts w:ascii="Times New Roman" w:hAnsi="Times New Roman" w:cs="Times New Roman"/>
          <w:sz w:val="24"/>
        </w:rPr>
        <w:t xml:space="preserve">       </w:t>
      </w:r>
    </w:p>
    <w:p w:rsidR="0015465C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15465C" w:rsidRPr="00771C8C">
        <w:rPr>
          <w:rFonts w:ascii="Times New Roman" w:hAnsi="Times New Roman" w:cs="Times New Roman"/>
          <w:sz w:val="24"/>
        </w:rPr>
        <w:t xml:space="preserve"> </w:t>
      </w:r>
      <w:r w:rsidR="009D4BEB" w:rsidRPr="009D4BEB">
        <w:rPr>
          <w:rFonts w:ascii="Times New Roman" w:hAnsi="Times New Roman" w:cs="Times New Roman"/>
          <w:sz w:val="24"/>
          <w:szCs w:val="24"/>
        </w:rPr>
        <w:t>проведение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4BEB" w:rsidRPr="009D4BEB">
        <w:rPr>
          <w:rFonts w:ascii="Times New Roman" w:hAnsi="Times New Roman" w:cs="Times New Roman"/>
          <w:sz w:val="24"/>
          <w:szCs w:val="24"/>
        </w:rPr>
        <w:t>ы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</w:t>
      </w:r>
      <w:r w:rsidR="003D6D93" w:rsidRPr="009D4BEB">
        <w:rPr>
          <w:rFonts w:ascii="Times New Roman" w:hAnsi="Times New Roman" w:cs="Times New Roman"/>
          <w:sz w:val="24"/>
          <w:szCs w:val="24"/>
        </w:rPr>
        <w:t>по формированию и дополнени</w:t>
      </w:r>
      <w:r w:rsidR="009D4BEB" w:rsidRPr="009D4BEB">
        <w:rPr>
          <w:rFonts w:ascii="Times New Roman" w:hAnsi="Times New Roman" w:cs="Times New Roman"/>
          <w:sz w:val="24"/>
          <w:szCs w:val="24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5B2E3D">
        <w:rPr>
          <w:rFonts w:ascii="Times New Roman" w:hAnsi="Times New Roman" w:cs="Times New Roman"/>
          <w:sz w:val="24"/>
          <w:szCs w:val="24"/>
        </w:rPr>
        <w:t xml:space="preserve"> </w:t>
      </w:r>
      <w:r w:rsidR="008D1B30">
        <w:rPr>
          <w:rFonts w:ascii="Times New Roman" w:hAnsi="Times New Roman" w:cs="Times New Roman"/>
          <w:sz w:val="24"/>
          <w:szCs w:val="24"/>
        </w:rPr>
        <w:t>(</w:t>
      </w:r>
      <w:r w:rsidR="005B2E3D" w:rsidRPr="009D4BEB">
        <w:rPr>
          <w:rFonts w:ascii="Times New Roman" w:hAnsi="Times New Roman" w:cs="Times New Roman"/>
          <w:sz w:val="24"/>
          <w:szCs w:val="24"/>
        </w:rPr>
        <w:t>Комите</w:t>
      </w:r>
      <w:r w:rsidR="008D1B30">
        <w:rPr>
          <w:rFonts w:ascii="Times New Roman" w:hAnsi="Times New Roman" w:cs="Times New Roman"/>
          <w:sz w:val="24"/>
          <w:szCs w:val="24"/>
        </w:rPr>
        <w:t>т</w:t>
      </w:r>
      <w:r w:rsidR="005B2E3D" w:rsidRPr="009D4BEB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8D1B30">
        <w:rPr>
          <w:rFonts w:ascii="Times New Roman" w:hAnsi="Times New Roman" w:cs="Times New Roman"/>
          <w:sz w:val="24"/>
          <w:szCs w:val="24"/>
        </w:rPr>
        <w:t>);</w:t>
      </w:r>
    </w:p>
    <w:p w:rsidR="008D1B30" w:rsidRPr="009D4BE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74F8" w:rsidRPr="00687543">
        <w:rPr>
          <w:rFonts w:ascii="Times New Roman" w:hAnsi="Times New Roman" w:cs="Times New Roman"/>
          <w:sz w:val="24"/>
          <w:szCs w:val="24"/>
        </w:rPr>
        <w:t>проведение уроков предпринимательства в образовательных учреждениях района</w:t>
      </w:r>
      <w:r w:rsidR="00627873">
        <w:rPr>
          <w:rFonts w:ascii="Times New Roman" w:hAnsi="Times New Roman" w:cs="Times New Roman"/>
          <w:sz w:val="24"/>
          <w:szCs w:val="24"/>
        </w:rPr>
        <w:t xml:space="preserve"> (субъекты малого и среднего предпринимательства Устьянского </w:t>
      </w:r>
      <w:r w:rsidR="00901921">
        <w:rPr>
          <w:rFonts w:ascii="Times New Roman" w:hAnsi="Times New Roman" w:cs="Times New Roman"/>
          <w:sz w:val="24"/>
          <w:szCs w:val="24"/>
        </w:rPr>
        <w:t>района)</w:t>
      </w:r>
      <w:r w:rsidR="00E05E59">
        <w:rPr>
          <w:rFonts w:ascii="Times New Roman" w:hAnsi="Times New Roman" w:cs="Times New Roman"/>
          <w:sz w:val="24"/>
          <w:szCs w:val="24"/>
        </w:rPr>
        <w:t>.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AE0C4B">
        <w:t>1325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lastRenderedPageBreak/>
        <w:t xml:space="preserve">        </w:t>
      </w:r>
      <w:r w:rsidR="006C316C">
        <w:t>5</w:t>
      </w:r>
      <w:r w:rsidRPr="00E31414">
        <w:t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ыс.чел.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B438F8" w:rsidRPr="00B34A2F" w:rsidTr="005F172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5F172B" w:rsidRPr="00B34A2F" w:rsidTr="005F172B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3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Default="006270D1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F164FA" w:rsidRDefault="006270D1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B34A2F" w:rsidRDefault="006270D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4B49C4" w:rsidRDefault="006270D1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43C1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743C1" w:rsidRPr="00885BDB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438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  <w:p w:rsidR="00C743C1" w:rsidRPr="00B34A2F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F6AD1">
              <w:rPr>
                <w:rFonts w:ascii="Times New Roman" w:hAnsi="Times New Roman" w:cs="Times New Roman"/>
              </w:rPr>
              <w:t>000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Default="00C743C1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3C1" w:rsidRDefault="00C743C1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C743C1" w:rsidRPr="00355F2B" w:rsidRDefault="00C743C1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Устьянского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379B1" w:rsidRDefault="00C743C1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 w:rsidR="004524F9"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r w:rsidR="004524F9">
              <w:rPr>
                <w:rFonts w:ascii="Times New Roman" w:hAnsi="Times New Roman" w:cs="Times New Roman"/>
              </w:rPr>
              <w:t xml:space="preserve">Устьянского района </w:t>
            </w:r>
            <w:r w:rsidRPr="00D063B6">
              <w:rPr>
                <w:rFonts w:ascii="Times New Roman" w:hAnsi="Times New Roman" w:cs="Times New Roman"/>
              </w:rPr>
              <w:t>(www.umsp.ru)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0834C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315C16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Default="00C743C1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0834C3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660ECC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4C3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B34A2F" w:rsidRDefault="000834C3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E94DF0" w:rsidRDefault="000834C3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B54D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 и среднего предпринимательства по вопросам предпринимательской деятельности.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AE246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290C38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95D49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C743C1" w:rsidRPr="00195D49" w:rsidRDefault="00C743C1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C743C1" w:rsidRPr="00B34A2F" w:rsidTr="00B54D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>едприятий 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8A3F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9F1C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55636D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 xml:space="preserve">ах, тренингах, круглых столах </w:t>
            </w:r>
            <w:r>
              <w:rPr>
                <w:sz w:val="20"/>
                <w:szCs w:val="20"/>
              </w:rPr>
              <w:lastRenderedPageBreak/>
              <w:t>и др.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1325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3C1" w:rsidRPr="00B34A2F" w:rsidTr="00B54D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43C1" w:rsidRPr="00B34A2F" w:rsidTr="00B54D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 и организациям,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C743C1" w:rsidRPr="00767383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242DBF" w:rsidRDefault="00C743C1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9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/7</w:t>
            </w:r>
            <w:r w:rsidR="00093BC8">
              <w:rPr>
                <w:rFonts w:ascii="Times New Roman" w:hAnsi="Times New Roman" w:cs="Times New Roman"/>
              </w:rPr>
              <w:t>3</w:t>
            </w:r>
          </w:p>
        </w:tc>
      </w:tr>
      <w:tr w:rsidR="003121C5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Default="003121C5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Pr="006B5B2E" w:rsidRDefault="003121C5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3121C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063B6" w:rsidRDefault="00C743C1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>Оказание информационной, консультационной и методической помощи монопрофильным муниципальным образованиям «Октябрьское» и «Киземское»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3121C5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«Октябрьское», МО «Киземское»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Pr="0033517D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33517D" w:rsidRDefault="00C743C1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A6A2A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Default="00EA6A2A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Pr="004168A1" w:rsidRDefault="00EA6A2A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>Обеспечение доступа субъектов МСП Устьянского района к финансовой поддержке, в т. ч. к льготному финансированию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885BDB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>Информирование субъектов МСП Устьянского района о программах льготного кредитования, в том числе АО «МСП Банк» и Микрокредитной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="00EA6A2A"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312C53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>Оказание методической и консультационной  помощи субъектам МСП при подготовке пакета документов на получение льготных микрозаймов.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F2256F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B1EDF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B1ED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Pr="00B34A2F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A73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A73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>в Устьянском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№ п/п</w:t>
            </w:r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4505DC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</w:t>
            </w:r>
            <w:r w:rsidR="004505DC">
              <w:rPr>
                <w:sz w:val="18"/>
                <w:szCs w:val="18"/>
              </w:rPr>
              <w:t>4</w:t>
            </w:r>
            <w:r w:rsidR="00870792"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тыс.чел.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/6</w:t>
            </w:r>
            <w:r w:rsidR="00D82018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="00D82018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/7</w:t>
            </w:r>
            <w:r w:rsidR="00D82018">
              <w:rPr>
                <w:sz w:val="18"/>
                <w:szCs w:val="18"/>
              </w:rPr>
              <w:t>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6205BB">
        <w:t>1300</w:t>
      </w:r>
      <w:r w:rsidRPr="00912D92">
        <w:t xml:space="preserve"> тыс.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тыс.рублей,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6205BB">
        <w:t>13</w:t>
      </w:r>
      <w:r w:rsidR="00BA4638" w:rsidRPr="00912D92">
        <w:t>00</w:t>
      </w:r>
      <w:r w:rsidRPr="00912D92">
        <w:t xml:space="preserve"> тыс.рублей.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64069" w:rsidP="006205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5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6205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5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84" w:rsidRDefault="00EC2584">
      <w:r>
        <w:separator/>
      </w:r>
    </w:p>
  </w:endnote>
  <w:endnote w:type="continuationSeparator" w:id="0">
    <w:p w:rsidR="00EC2584" w:rsidRDefault="00EC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84" w:rsidRDefault="00EC2584">
      <w:r>
        <w:separator/>
      </w:r>
    </w:p>
  </w:footnote>
  <w:footnote w:type="continuationSeparator" w:id="0">
    <w:p w:rsidR="00EC2584" w:rsidRDefault="00EC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1F3F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64DC"/>
    <w:rsid w:val="000302F9"/>
    <w:rsid w:val="00030CB9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3036"/>
    <w:rsid w:val="00053790"/>
    <w:rsid w:val="00053922"/>
    <w:rsid w:val="0005470F"/>
    <w:rsid w:val="0005483D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4CF3"/>
    <w:rsid w:val="000B06BB"/>
    <w:rsid w:val="000B143E"/>
    <w:rsid w:val="000B188C"/>
    <w:rsid w:val="000B1F27"/>
    <w:rsid w:val="000B1FB1"/>
    <w:rsid w:val="000B4197"/>
    <w:rsid w:val="000B56D8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602E"/>
    <w:rsid w:val="001C7578"/>
    <w:rsid w:val="001D02A5"/>
    <w:rsid w:val="001D2B07"/>
    <w:rsid w:val="001D2EAE"/>
    <w:rsid w:val="001D654B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778D"/>
    <w:rsid w:val="002632D3"/>
    <w:rsid w:val="00263DAD"/>
    <w:rsid w:val="0026404F"/>
    <w:rsid w:val="00264D81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935"/>
    <w:rsid w:val="002E1137"/>
    <w:rsid w:val="002E1F9A"/>
    <w:rsid w:val="002E2D10"/>
    <w:rsid w:val="002E3CEC"/>
    <w:rsid w:val="002E3E52"/>
    <w:rsid w:val="002E683F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2DB3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661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4406"/>
    <w:rsid w:val="004165A0"/>
    <w:rsid w:val="004168A1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50B9"/>
    <w:rsid w:val="00495238"/>
    <w:rsid w:val="0049559D"/>
    <w:rsid w:val="00496602"/>
    <w:rsid w:val="00496A2D"/>
    <w:rsid w:val="00496B66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448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59C"/>
    <w:rsid w:val="00520ED2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5AF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2357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343C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378A"/>
    <w:rsid w:val="006A525A"/>
    <w:rsid w:val="006A7559"/>
    <w:rsid w:val="006B149B"/>
    <w:rsid w:val="006B2DD9"/>
    <w:rsid w:val="006B4D47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2666"/>
    <w:rsid w:val="0077373D"/>
    <w:rsid w:val="007744BA"/>
    <w:rsid w:val="00774E4C"/>
    <w:rsid w:val="007754B9"/>
    <w:rsid w:val="00775BBE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BEF"/>
    <w:rsid w:val="00796678"/>
    <w:rsid w:val="0079744C"/>
    <w:rsid w:val="007A1866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2FC"/>
    <w:rsid w:val="007D16EF"/>
    <w:rsid w:val="007D27FE"/>
    <w:rsid w:val="007D298E"/>
    <w:rsid w:val="007D3785"/>
    <w:rsid w:val="007D648D"/>
    <w:rsid w:val="007D795D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4D6A"/>
    <w:rsid w:val="00807A96"/>
    <w:rsid w:val="0081339A"/>
    <w:rsid w:val="008135AC"/>
    <w:rsid w:val="00813DA5"/>
    <w:rsid w:val="00814E0C"/>
    <w:rsid w:val="00814ED8"/>
    <w:rsid w:val="00815C9B"/>
    <w:rsid w:val="008176A6"/>
    <w:rsid w:val="0082052C"/>
    <w:rsid w:val="00820EA2"/>
    <w:rsid w:val="008211E6"/>
    <w:rsid w:val="00821506"/>
    <w:rsid w:val="00822511"/>
    <w:rsid w:val="00822853"/>
    <w:rsid w:val="008243CB"/>
    <w:rsid w:val="00826BDF"/>
    <w:rsid w:val="00831B72"/>
    <w:rsid w:val="008349DA"/>
    <w:rsid w:val="00834BFC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FD1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C1B"/>
    <w:rsid w:val="008E5D7E"/>
    <w:rsid w:val="008E7648"/>
    <w:rsid w:val="008E7EB2"/>
    <w:rsid w:val="008F4C0F"/>
    <w:rsid w:val="008F5676"/>
    <w:rsid w:val="008F69AC"/>
    <w:rsid w:val="00901921"/>
    <w:rsid w:val="00902907"/>
    <w:rsid w:val="009033CE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41D34"/>
    <w:rsid w:val="00942878"/>
    <w:rsid w:val="0094412B"/>
    <w:rsid w:val="00946F3E"/>
    <w:rsid w:val="00950EFC"/>
    <w:rsid w:val="00951ED5"/>
    <w:rsid w:val="009550BF"/>
    <w:rsid w:val="00955741"/>
    <w:rsid w:val="009577AA"/>
    <w:rsid w:val="009610E7"/>
    <w:rsid w:val="00961359"/>
    <w:rsid w:val="009640BF"/>
    <w:rsid w:val="009663E0"/>
    <w:rsid w:val="009714B4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293E"/>
    <w:rsid w:val="009C340A"/>
    <w:rsid w:val="009C4A09"/>
    <w:rsid w:val="009C4DC2"/>
    <w:rsid w:val="009C5CB2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F04A8"/>
    <w:rsid w:val="009F1C09"/>
    <w:rsid w:val="009F1D36"/>
    <w:rsid w:val="009F4106"/>
    <w:rsid w:val="009F61ED"/>
    <w:rsid w:val="009F7531"/>
    <w:rsid w:val="009F7603"/>
    <w:rsid w:val="00A00F97"/>
    <w:rsid w:val="00A01A28"/>
    <w:rsid w:val="00A01ECB"/>
    <w:rsid w:val="00A01EE8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730C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74DF"/>
    <w:rsid w:val="00AF3285"/>
    <w:rsid w:val="00AF645F"/>
    <w:rsid w:val="00AF7B7D"/>
    <w:rsid w:val="00AF7BAC"/>
    <w:rsid w:val="00B00381"/>
    <w:rsid w:val="00B0075C"/>
    <w:rsid w:val="00B03247"/>
    <w:rsid w:val="00B03F60"/>
    <w:rsid w:val="00B04632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6279"/>
    <w:rsid w:val="00B777D0"/>
    <w:rsid w:val="00B87D73"/>
    <w:rsid w:val="00B922CB"/>
    <w:rsid w:val="00B92B59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131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68DD"/>
    <w:rsid w:val="00BF7A7B"/>
    <w:rsid w:val="00BF7FF2"/>
    <w:rsid w:val="00C038BB"/>
    <w:rsid w:val="00C03996"/>
    <w:rsid w:val="00C0477F"/>
    <w:rsid w:val="00C04B54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4032"/>
    <w:rsid w:val="00C5662E"/>
    <w:rsid w:val="00C56C56"/>
    <w:rsid w:val="00C56CA9"/>
    <w:rsid w:val="00C57152"/>
    <w:rsid w:val="00C57930"/>
    <w:rsid w:val="00C6078B"/>
    <w:rsid w:val="00C610D2"/>
    <w:rsid w:val="00C61963"/>
    <w:rsid w:val="00C62A15"/>
    <w:rsid w:val="00C64128"/>
    <w:rsid w:val="00C645A5"/>
    <w:rsid w:val="00C646AE"/>
    <w:rsid w:val="00C709BE"/>
    <w:rsid w:val="00C737D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B6E"/>
    <w:rsid w:val="00D027E7"/>
    <w:rsid w:val="00D045EA"/>
    <w:rsid w:val="00D0505C"/>
    <w:rsid w:val="00D0506A"/>
    <w:rsid w:val="00D05BA9"/>
    <w:rsid w:val="00D063B6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521D"/>
    <w:rsid w:val="00D8584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5E59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A6A2A"/>
    <w:rsid w:val="00EA7323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2584"/>
    <w:rsid w:val="00EC336A"/>
    <w:rsid w:val="00EC3A6D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6099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30C0"/>
    <w:rsid w:val="00F65790"/>
    <w:rsid w:val="00F670D1"/>
    <w:rsid w:val="00F67199"/>
    <w:rsid w:val="00F73974"/>
    <w:rsid w:val="00F750B0"/>
    <w:rsid w:val="00F765EE"/>
    <w:rsid w:val="00F811E1"/>
    <w:rsid w:val="00F81715"/>
    <w:rsid w:val="00F81D14"/>
    <w:rsid w:val="00F85F78"/>
    <w:rsid w:val="00F86BB5"/>
    <w:rsid w:val="00F908EF"/>
    <w:rsid w:val="00F90A32"/>
    <w:rsid w:val="00F912D0"/>
    <w:rsid w:val="00F928F8"/>
    <w:rsid w:val="00F9521A"/>
    <w:rsid w:val="00F97CFE"/>
    <w:rsid w:val="00F97E5E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3</cp:revision>
  <cp:lastPrinted>2019-10-03T10:46:00Z</cp:lastPrinted>
  <dcterms:created xsi:type="dcterms:W3CDTF">2020-05-29T07:28:00Z</dcterms:created>
  <dcterms:modified xsi:type="dcterms:W3CDTF">2020-05-29T07:30:00Z</dcterms:modified>
</cp:coreProperties>
</file>