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C" w:rsidRPr="00420A44" w:rsidRDefault="00C369A0" w:rsidP="00420A44">
      <w:pPr>
        <w:tabs>
          <w:tab w:val="left" w:pos="1455"/>
        </w:tabs>
        <w:ind w:left="5670"/>
        <w:jc w:val="center"/>
        <w:rPr>
          <w:sz w:val="20"/>
          <w:szCs w:val="20"/>
        </w:rPr>
      </w:pPr>
      <w:bookmarkStart w:id="0" w:name="_GoBack"/>
      <w:bookmarkEnd w:id="0"/>
      <w:r w:rsidRPr="00420A44">
        <w:rPr>
          <w:sz w:val="20"/>
          <w:szCs w:val="20"/>
        </w:rPr>
        <w:t xml:space="preserve">Приложение к </w:t>
      </w:r>
      <w:r w:rsidR="00D7171D" w:rsidRPr="00420A44">
        <w:rPr>
          <w:sz w:val="20"/>
          <w:szCs w:val="20"/>
        </w:rPr>
        <w:t>п</w:t>
      </w:r>
      <w:r w:rsidR="004C45D5" w:rsidRPr="00420A44">
        <w:rPr>
          <w:sz w:val="20"/>
          <w:szCs w:val="20"/>
        </w:rPr>
        <w:t>остановлени</w:t>
      </w:r>
      <w:r w:rsidRPr="00420A44">
        <w:rPr>
          <w:sz w:val="20"/>
          <w:szCs w:val="20"/>
        </w:rPr>
        <w:t>ю</w:t>
      </w:r>
      <w:r w:rsidR="00232F7B" w:rsidRPr="00420A44">
        <w:rPr>
          <w:sz w:val="20"/>
          <w:szCs w:val="20"/>
        </w:rPr>
        <w:t xml:space="preserve"> </w:t>
      </w:r>
      <w:r w:rsidR="004C45D5" w:rsidRPr="00420A44">
        <w:rPr>
          <w:sz w:val="20"/>
          <w:szCs w:val="20"/>
        </w:rPr>
        <w:t xml:space="preserve"> администрации </w:t>
      </w:r>
      <w:r w:rsidR="000F2EC8" w:rsidRPr="00420A44">
        <w:rPr>
          <w:sz w:val="20"/>
          <w:szCs w:val="20"/>
        </w:rPr>
        <w:t>Устьянского муниципального района</w:t>
      </w:r>
    </w:p>
    <w:p w:rsidR="004C45D5" w:rsidRPr="00420A44" w:rsidRDefault="00F377B4" w:rsidP="00420A44">
      <w:pPr>
        <w:tabs>
          <w:tab w:val="left" w:pos="1455"/>
        </w:tabs>
        <w:ind w:left="5670"/>
        <w:jc w:val="center"/>
        <w:rPr>
          <w:sz w:val="20"/>
          <w:szCs w:val="20"/>
        </w:rPr>
      </w:pPr>
      <w:r w:rsidRPr="00420A44">
        <w:rPr>
          <w:sz w:val="20"/>
          <w:szCs w:val="20"/>
        </w:rPr>
        <w:t xml:space="preserve">от </w:t>
      </w:r>
      <w:r w:rsidR="00157AD7" w:rsidRPr="00420A44">
        <w:rPr>
          <w:sz w:val="20"/>
          <w:szCs w:val="20"/>
        </w:rPr>
        <w:t xml:space="preserve">17 </w:t>
      </w:r>
      <w:r w:rsidR="0066744C" w:rsidRPr="00420A44">
        <w:rPr>
          <w:sz w:val="20"/>
          <w:szCs w:val="20"/>
        </w:rPr>
        <w:t>марта</w:t>
      </w:r>
      <w:r w:rsidR="000F2EC8" w:rsidRPr="00420A44">
        <w:rPr>
          <w:sz w:val="20"/>
          <w:szCs w:val="20"/>
        </w:rPr>
        <w:t xml:space="preserve"> </w:t>
      </w:r>
      <w:r w:rsidR="00095D4A" w:rsidRPr="00420A44">
        <w:rPr>
          <w:sz w:val="20"/>
          <w:szCs w:val="20"/>
        </w:rPr>
        <w:t xml:space="preserve"> </w:t>
      </w:r>
      <w:r w:rsidR="00AD0A0C" w:rsidRPr="00420A44">
        <w:rPr>
          <w:sz w:val="20"/>
          <w:szCs w:val="20"/>
        </w:rPr>
        <w:t>20</w:t>
      </w:r>
      <w:r w:rsidR="0090155A" w:rsidRPr="00420A44">
        <w:rPr>
          <w:sz w:val="20"/>
          <w:szCs w:val="20"/>
        </w:rPr>
        <w:t>2</w:t>
      </w:r>
      <w:r w:rsidR="00157AD7" w:rsidRPr="00420A44">
        <w:rPr>
          <w:sz w:val="20"/>
          <w:szCs w:val="20"/>
        </w:rPr>
        <w:t>2</w:t>
      </w:r>
      <w:r w:rsidR="008863DB" w:rsidRPr="00420A44">
        <w:rPr>
          <w:sz w:val="20"/>
          <w:szCs w:val="20"/>
        </w:rPr>
        <w:t xml:space="preserve"> </w:t>
      </w:r>
      <w:r w:rsidRPr="00420A44">
        <w:rPr>
          <w:sz w:val="20"/>
          <w:szCs w:val="20"/>
        </w:rPr>
        <w:t xml:space="preserve"> года </w:t>
      </w:r>
      <w:r w:rsidR="004C45D5" w:rsidRPr="00420A44">
        <w:rPr>
          <w:sz w:val="20"/>
          <w:szCs w:val="20"/>
        </w:rPr>
        <w:t>№</w:t>
      </w:r>
      <w:r w:rsidR="00015D3D" w:rsidRPr="00420A44">
        <w:rPr>
          <w:sz w:val="20"/>
          <w:szCs w:val="20"/>
        </w:rPr>
        <w:t xml:space="preserve"> </w:t>
      </w:r>
      <w:r w:rsidR="0066744C" w:rsidRPr="00420A44">
        <w:rPr>
          <w:sz w:val="20"/>
          <w:szCs w:val="20"/>
        </w:rPr>
        <w:t>487</w:t>
      </w:r>
    </w:p>
    <w:p w:rsidR="000F2EC8" w:rsidRPr="00420A44" w:rsidRDefault="000F2EC8">
      <w:pPr>
        <w:pStyle w:val="ConsPlusNormal"/>
        <w:ind w:firstLine="0"/>
        <w:jc w:val="center"/>
        <w:rPr>
          <w:sz w:val="24"/>
        </w:rPr>
      </w:pPr>
    </w:p>
    <w:p w:rsidR="004C45D5" w:rsidRPr="008F2D1D" w:rsidRDefault="004C45D5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  <w:r w:rsidRPr="008F2D1D">
        <w:rPr>
          <w:rFonts w:ascii="Times New Roman" w:hAnsi="Times New Roman"/>
          <w:b/>
          <w:sz w:val="24"/>
        </w:rPr>
        <w:t>ПАСПОРТ</w:t>
      </w:r>
    </w:p>
    <w:p w:rsidR="004C45D5" w:rsidRPr="00420A44" w:rsidRDefault="004C45D5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420A44">
        <w:rPr>
          <w:rFonts w:ascii="Times New Roman" w:hAnsi="Times New Roman"/>
          <w:sz w:val="24"/>
        </w:rPr>
        <w:t xml:space="preserve">муниципальной программы «Профилактика преступлений, терроризма, экстремизма и иных правонарушений в </w:t>
      </w:r>
      <w:r w:rsidR="0066744C" w:rsidRPr="00420A44">
        <w:rPr>
          <w:rFonts w:ascii="Times New Roman" w:hAnsi="Times New Roman"/>
          <w:sz w:val="24"/>
        </w:rPr>
        <w:t>Устьянском муниципальном районе</w:t>
      </w:r>
      <w:r w:rsidRPr="00420A44">
        <w:rPr>
          <w:rFonts w:ascii="Times New Roman" w:hAnsi="Times New Roman"/>
          <w:sz w:val="24"/>
        </w:rPr>
        <w:t xml:space="preserve">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1060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212"/>
        <w:gridCol w:w="8544"/>
        <w:gridCol w:w="212"/>
      </w:tblGrid>
      <w:tr w:rsidR="0066744C" w:rsidTr="008F2D1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66744C" w:rsidRDefault="0066744C" w:rsidP="006674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1575F3" w:rsidRDefault="0066744C" w:rsidP="00997C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1575F3">
              <w:rPr>
                <w:rFonts w:ascii="Times New Roman" w:hAnsi="Times New Roman"/>
                <w:sz w:val="24"/>
              </w:rPr>
              <w:t>Профилактика преступлений, терроризма, экстремизма и иных правонарушений в Устьянском муниципальном районе</w:t>
            </w:r>
          </w:p>
        </w:tc>
      </w:tr>
      <w:tr w:rsidR="004C45D5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Ответственный исполнитель 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Администрация  муниципального образования «Устьянский муниципальный район»</w:t>
            </w:r>
            <w:r w:rsidR="00D84D47">
              <w:rPr>
                <w:rFonts w:ascii="Times New Roman" w:hAnsi="Times New Roman"/>
                <w:sz w:val="24"/>
              </w:rPr>
              <w:t xml:space="preserve"> </w:t>
            </w:r>
            <w:r w:rsidR="00D84D47" w:rsidRPr="00AC7EE2">
              <w:rPr>
                <w:rFonts w:ascii="Times New Roman" w:hAnsi="Times New Roman"/>
                <w:sz w:val="26"/>
                <w:szCs w:val="26"/>
              </w:rPr>
              <w:t>в лице отдела гражданской обороны и чрезвычайных ситуаций</w:t>
            </w:r>
          </w:p>
        </w:tc>
      </w:tr>
      <w:tr w:rsidR="0066744C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66744C" w:rsidRDefault="0066744C" w:rsidP="00997C4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Соисполнители 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4C" w:rsidRPr="0066744C" w:rsidRDefault="0066744C" w:rsidP="00997C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Отсутствует.</w:t>
            </w:r>
          </w:p>
        </w:tc>
      </w:tr>
      <w:tr w:rsidR="005F1D08" w:rsidRPr="00D84D47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192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D08" w:rsidRPr="00D84D47" w:rsidRDefault="005F1D08" w:rsidP="00D84D47">
            <w:r w:rsidRPr="00D84D47">
              <w:t xml:space="preserve"> Мероприятия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08" w:rsidRPr="00D84D47" w:rsidRDefault="005F1D08" w:rsidP="00D84D47">
            <w:pPr>
              <w:jc w:val="both"/>
            </w:pPr>
            <w:r w:rsidRPr="005F1D08">
              <w:rPr>
                <w:b/>
              </w:rPr>
              <w:t>Задача 1.</w:t>
            </w:r>
            <w:r w:rsidRPr="00F91F6C">
              <w:t xml:space="preserve"> </w:t>
            </w:r>
            <w:r w:rsidRPr="00A314C2">
              <w:t>Предупреждение преступлений, терроризма, экстремизма и иных правонарушений (Повышение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местах; Материально-техническое обеспечение отдела ГО и ЧС, службы ЕДДС; П</w:t>
            </w:r>
            <w:r w:rsidRPr="00A314C2">
              <w:rPr>
                <w:rFonts w:eastAsia="Times New Roman"/>
              </w:rPr>
              <w:t>рофилактик</w:t>
            </w:r>
            <w:r w:rsidRPr="00A314C2">
              <w:t>а</w:t>
            </w:r>
            <w:r w:rsidRPr="00A314C2">
              <w:rPr>
                <w:rFonts w:eastAsia="Times New Roman"/>
              </w:rPr>
      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      </w:r>
            <w:r w:rsidRPr="00A314C2">
              <w:t xml:space="preserve">взрослого населения и </w:t>
            </w:r>
            <w:r w:rsidRPr="00A314C2">
              <w:rPr>
                <w:rFonts w:eastAsia="Times New Roman"/>
              </w:rPr>
              <w:t>несовершеннолетних</w:t>
            </w:r>
            <w:r w:rsidRPr="00A314C2">
              <w:t>.).</w:t>
            </w:r>
          </w:p>
        </w:tc>
      </w:tr>
      <w:tr w:rsidR="005F1D08" w:rsidRPr="00D84D47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7995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7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08" w:rsidRDefault="005F1D08" w:rsidP="00D84D47">
            <w:pPr>
              <w:jc w:val="both"/>
              <w:rPr>
                <w:b/>
              </w:rPr>
            </w:pPr>
            <w:r w:rsidRPr="005F1D08">
              <w:rPr>
                <w:b/>
              </w:rPr>
              <w:t xml:space="preserve">Мероприятие: </w:t>
            </w:r>
          </w:p>
          <w:p w:rsidR="005F1D08" w:rsidRPr="00D84D47" w:rsidRDefault="005F1D08" w:rsidP="00D84D47">
            <w:pPr>
              <w:jc w:val="both"/>
            </w:pPr>
            <w:r w:rsidRPr="005F1D08">
              <w:rPr>
                <w:b/>
              </w:rPr>
              <w:t>1.1</w:t>
            </w:r>
            <w:r w:rsidRPr="00D84D47">
              <w:t xml:space="preserve">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- Анализ состояния криминогенной обстановки, результатов работы по борьбе с преступностью, охране общественного поря</w:t>
            </w:r>
            <w:r>
              <w:t>дка и общественной безопасности</w:t>
            </w:r>
            <w:r w:rsidRPr="00D84D47">
              <w:t>:</w:t>
            </w:r>
          </w:p>
          <w:p w:rsidR="005F1D08" w:rsidRPr="00D84D47" w:rsidRDefault="005F1D08" w:rsidP="00D84D47">
            <w:pPr>
              <w:jc w:val="both"/>
            </w:pPr>
            <w:r w:rsidRPr="00D84D47">
      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      </w:r>
          </w:p>
          <w:p w:rsidR="005F1D08" w:rsidRPr="00D84D47" w:rsidRDefault="005F1D08" w:rsidP="00D84D47">
            <w:pPr>
              <w:jc w:val="both"/>
            </w:pPr>
            <w:r w:rsidRPr="00D84D47">
              <w:t>- проведение профилактической работы с лицами, подверженными влиянию идеологии экстремизма;</w:t>
            </w:r>
          </w:p>
          <w:p w:rsidR="005F1D08" w:rsidRPr="00D84D47" w:rsidRDefault="005F1D08" w:rsidP="00D84D47">
            <w:pPr>
              <w:jc w:val="both"/>
            </w:pPr>
            <w:r w:rsidRPr="00D84D47">
      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      </w:r>
          </w:p>
          <w:p w:rsidR="005F1D08" w:rsidRPr="00D84D47" w:rsidRDefault="005F1D08" w:rsidP="00D84D47">
            <w:pPr>
              <w:jc w:val="both"/>
            </w:pPr>
            <w:r w:rsidRPr="00D84D47">
      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      </w:r>
          </w:p>
          <w:p w:rsidR="005F1D08" w:rsidRPr="00D84D47" w:rsidRDefault="005F1D08" w:rsidP="00D84D47">
            <w:pPr>
              <w:jc w:val="both"/>
            </w:pPr>
            <w:r w:rsidRPr="00D84D47">
              <w:t>--выявление и устранение источников и каналов финансирования экстремистской деятельности;</w:t>
            </w:r>
          </w:p>
          <w:p w:rsidR="005F1D08" w:rsidRDefault="005F1D08" w:rsidP="00D84D47">
            <w:pPr>
              <w:jc w:val="both"/>
            </w:pPr>
            <w:r w:rsidRPr="00D84D47">
              <w:t>Мониторинг в сфере противодействия экстремисткой деятельности на территории  муниципального образования</w:t>
            </w:r>
            <w:r>
              <w:t>;</w:t>
            </w:r>
            <w:r w:rsidRPr="00D84D47">
              <w:t xml:space="preserve">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 </w:t>
            </w:r>
          </w:p>
        </w:tc>
      </w:tr>
      <w:tr w:rsidR="005F1D08" w:rsidRPr="00D84D47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1695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7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08" w:rsidRDefault="005F1D08" w:rsidP="00D84D47">
            <w:pPr>
              <w:jc w:val="both"/>
            </w:pPr>
            <w:r w:rsidRPr="005F1D08">
              <w:rPr>
                <w:b/>
              </w:rPr>
              <w:t>1.2.</w:t>
            </w:r>
            <w:r w:rsidRPr="00D84D47">
              <w:t xml:space="preserve"> Продолжить практику 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 (ежемесячные планерки администрации). </w:t>
            </w:r>
          </w:p>
        </w:tc>
      </w:tr>
      <w:tr w:rsidR="005F1D08" w:rsidRPr="00D84D47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1127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7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08" w:rsidRDefault="005F1D08" w:rsidP="00D84D47">
            <w:pPr>
              <w:jc w:val="both"/>
            </w:pPr>
            <w:r w:rsidRPr="005F1D08">
              <w:rPr>
                <w:b/>
              </w:rPr>
              <w:t>1.3.</w:t>
            </w:r>
            <w:r w:rsidRPr="00D84D47">
      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      </w:r>
          </w:p>
        </w:tc>
      </w:tr>
      <w:tr w:rsidR="005F1D08" w:rsidRPr="00D84D47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795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7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08" w:rsidRDefault="005F1D08" w:rsidP="00D84D47">
            <w:pPr>
              <w:jc w:val="both"/>
            </w:pPr>
            <w:r w:rsidRPr="005F1D08">
              <w:rPr>
                <w:b/>
              </w:rPr>
              <w:t>1.4.</w:t>
            </w:r>
            <w:r w:rsidRPr="00D84D47">
              <w:t xml:space="preserve"> Материально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      </w:r>
          </w:p>
        </w:tc>
      </w:tr>
      <w:tr w:rsidR="005F1D08" w:rsidRPr="00D84D47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5820"/>
        </w:trPr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8" w:rsidRPr="00D84D47" w:rsidRDefault="005F1D08" w:rsidP="00D84D47"/>
        </w:tc>
        <w:tc>
          <w:tcPr>
            <w:tcW w:w="87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08" w:rsidRPr="00D84D47" w:rsidRDefault="005F1D08" w:rsidP="00D84D47">
            <w:pPr>
              <w:jc w:val="both"/>
            </w:pPr>
            <w:r w:rsidRPr="005F1D08">
              <w:rPr>
                <w:b/>
              </w:rPr>
              <w:t>1.5.</w:t>
            </w:r>
            <w:r w:rsidRPr="00D84D47">
              <w:t xml:space="preserve"> 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</w:t>
            </w:r>
            <w:r>
              <w:t xml:space="preserve"> </w:t>
            </w:r>
            <w:r w:rsidRPr="00D84D47">
      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      </w:r>
          </w:p>
          <w:p w:rsidR="005F1D08" w:rsidRPr="00D84D47" w:rsidRDefault="005F1D08" w:rsidP="00D84D47">
            <w:pPr>
              <w:jc w:val="both"/>
            </w:pPr>
            <w:r w:rsidRPr="00D84D47">
      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      </w:r>
          </w:p>
          <w:p w:rsidR="005F1D08" w:rsidRPr="00D84D47" w:rsidRDefault="005F1D08" w:rsidP="00D84D47">
            <w:pPr>
              <w:jc w:val="both"/>
            </w:pPr>
            <w:r w:rsidRPr="00D84D47">
              <w:t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</w:t>
            </w:r>
          </w:p>
          <w:p w:rsidR="005F1D08" w:rsidRPr="00D84D47" w:rsidRDefault="005F1D08" w:rsidP="00D84D47">
            <w:pPr>
              <w:jc w:val="both"/>
            </w:pPr>
            <w:r w:rsidRPr="00D84D47">
              <w:t>Изготовление листовок, буклетов.</w:t>
            </w:r>
          </w:p>
          <w:p w:rsidR="005F1D08" w:rsidRDefault="005F1D08" w:rsidP="00D84D47">
            <w:pPr>
              <w:jc w:val="both"/>
            </w:pPr>
          </w:p>
        </w:tc>
      </w:tr>
      <w:tr w:rsidR="004C45D5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66744C" w:rsidP="0066744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Цели</w:t>
            </w:r>
            <w:r w:rsidR="004C45D5" w:rsidRPr="0066744C">
              <w:rPr>
                <w:rFonts w:ascii="Times New Roman" w:hAnsi="Times New Roman"/>
                <w:sz w:val="24"/>
              </w:rPr>
              <w:t xml:space="preserve">         </w:t>
            </w:r>
            <w:r w:rsidR="004C45D5"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674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Снижение уровня преступности и повышение уровня безопасности граждан на территории </w:t>
            </w:r>
            <w:r w:rsidR="0066744C" w:rsidRPr="0066744C">
              <w:rPr>
                <w:rFonts w:ascii="Times New Roman" w:hAnsi="Times New Roman"/>
                <w:sz w:val="24"/>
              </w:rPr>
              <w:t>Устьянского муниципального района</w:t>
            </w:r>
            <w:r w:rsidRPr="0066744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14C2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320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4C2" w:rsidRPr="0066744C" w:rsidRDefault="00A314C2" w:rsidP="00A314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66744C">
              <w:rPr>
                <w:rFonts w:ascii="Times New Roman" w:hAnsi="Times New Roman"/>
                <w:sz w:val="24"/>
              </w:rPr>
              <w:t xml:space="preserve"> 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4C2" w:rsidRPr="0066744C" w:rsidRDefault="00A314C2" w:rsidP="009C557E">
            <w:pPr>
              <w:jc w:val="both"/>
            </w:pPr>
            <w:r w:rsidRPr="00A314C2">
              <w:t>Предупреждение преступлений, терроризма, экстремизма и иных правонарушений (Повышение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местах; Материально-техническое обеспечение отдела ГО и ЧС, службы ЕДДС; П</w:t>
            </w:r>
            <w:r w:rsidRPr="00A314C2">
              <w:rPr>
                <w:rFonts w:eastAsia="Times New Roman"/>
              </w:rPr>
              <w:t>рофилактик</w:t>
            </w:r>
            <w:r w:rsidRPr="00A314C2">
              <w:t>а</w:t>
            </w:r>
            <w:r w:rsidRPr="00A314C2">
              <w:rPr>
                <w:rFonts w:eastAsia="Times New Roman"/>
              </w:rPr>
      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      </w:r>
            <w:r w:rsidRPr="00A314C2">
              <w:t xml:space="preserve">взрослого населения и </w:t>
            </w:r>
            <w:r w:rsidRPr="00A314C2">
              <w:rPr>
                <w:rFonts w:eastAsia="Times New Roman"/>
              </w:rPr>
              <w:t>несовершеннолетних</w:t>
            </w:r>
            <w:r w:rsidRPr="00A314C2">
              <w:t>.).</w:t>
            </w:r>
          </w:p>
        </w:tc>
      </w:tr>
      <w:tr w:rsidR="004C45D5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60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Сроки и этапы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реализации 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D35A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20</w:t>
            </w:r>
            <w:r w:rsidR="00873904" w:rsidRPr="0066744C">
              <w:rPr>
                <w:rFonts w:ascii="Times New Roman" w:hAnsi="Times New Roman"/>
                <w:sz w:val="24"/>
              </w:rPr>
              <w:t>20</w:t>
            </w:r>
            <w:r w:rsidRPr="0066744C">
              <w:rPr>
                <w:rFonts w:ascii="Times New Roman" w:hAnsi="Times New Roman"/>
                <w:sz w:val="24"/>
              </w:rPr>
              <w:t xml:space="preserve"> - 20</w:t>
            </w:r>
            <w:r w:rsidR="00AD0A0C" w:rsidRPr="0066744C">
              <w:rPr>
                <w:rFonts w:ascii="Times New Roman" w:hAnsi="Times New Roman"/>
                <w:sz w:val="24"/>
              </w:rPr>
              <w:t>2</w:t>
            </w:r>
            <w:r w:rsidR="00D35A5D" w:rsidRPr="0066744C">
              <w:rPr>
                <w:rFonts w:ascii="Times New Roman" w:hAnsi="Times New Roman"/>
                <w:sz w:val="24"/>
              </w:rPr>
              <w:t>4</w:t>
            </w:r>
            <w:r w:rsidRPr="0066744C">
              <w:rPr>
                <w:rFonts w:ascii="Times New Roman" w:hAnsi="Times New Roman"/>
                <w:sz w:val="24"/>
              </w:rPr>
              <w:t xml:space="preserve"> годы:                                   </w:t>
            </w:r>
            <w:r w:rsidRPr="0066744C">
              <w:rPr>
                <w:rFonts w:ascii="Times New Roman" w:hAnsi="Times New Roman"/>
                <w:sz w:val="24"/>
              </w:rPr>
              <w:br/>
              <w:t>в один  этап  – 20</w:t>
            </w:r>
            <w:r w:rsidR="00873904" w:rsidRPr="0066744C">
              <w:rPr>
                <w:rFonts w:ascii="Times New Roman" w:hAnsi="Times New Roman"/>
                <w:sz w:val="24"/>
              </w:rPr>
              <w:t>20</w:t>
            </w:r>
            <w:r w:rsidRPr="0066744C">
              <w:rPr>
                <w:rFonts w:ascii="Times New Roman" w:hAnsi="Times New Roman"/>
                <w:sz w:val="24"/>
              </w:rPr>
              <w:t xml:space="preserve"> - 20</w:t>
            </w:r>
            <w:r w:rsidR="00AD0A0C" w:rsidRPr="0066744C">
              <w:rPr>
                <w:rFonts w:ascii="Times New Roman" w:hAnsi="Times New Roman"/>
                <w:sz w:val="24"/>
              </w:rPr>
              <w:t>2</w:t>
            </w:r>
            <w:r w:rsidR="00D35A5D" w:rsidRPr="0066744C">
              <w:rPr>
                <w:rFonts w:ascii="Times New Roman" w:hAnsi="Times New Roman"/>
                <w:sz w:val="24"/>
              </w:rPr>
              <w:t>4</w:t>
            </w:r>
            <w:r w:rsidRPr="0066744C">
              <w:rPr>
                <w:rFonts w:ascii="Times New Roman" w:hAnsi="Times New Roman"/>
                <w:sz w:val="24"/>
              </w:rPr>
              <w:t xml:space="preserve"> годы;</w:t>
            </w:r>
          </w:p>
        </w:tc>
      </w:tr>
      <w:tr w:rsidR="004C45D5" w:rsidTr="008F2D1D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cantSplit/>
          <w:trHeight w:val="7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Объемы и источники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финансирования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66744C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общий объем финансирования </w:t>
            </w:r>
            <w:r w:rsidR="00157AD7" w:rsidRPr="0066744C">
              <w:rPr>
                <w:rFonts w:ascii="Times New Roman" w:hAnsi="Times New Roman"/>
                <w:sz w:val="24"/>
              </w:rPr>
              <w:t>5</w:t>
            </w:r>
            <w:r w:rsidR="009B7694">
              <w:rPr>
                <w:rFonts w:ascii="Times New Roman" w:hAnsi="Times New Roman"/>
                <w:sz w:val="24"/>
              </w:rPr>
              <w:t>94 450</w:t>
            </w:r>
            <w:r w:rsidR="00295A28" w:rsidRPr="0066744C">
              <w:rPr>
                <w:rFonts w:ascii="Times New Roman" w:hAnsi="Times New Roman"/>
                <w:sz w:val="24"/>
              </w:rPr>
              <w:t>,00</w:t>
            </w:r>
            <w:r w:rsidRPr="0066744C">
              <w:rPr>
                <w:rFonts w:ascii="Times New Roman" w:hAnsi="Times New Roman"/>
                <w:sz w:val="24"/>
              </w:rPr>
              <w:t xml:space="preserve">   рублей,  </w:t>
            </w:r>
            <w:r w:rsidRPr="0066744C"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4C45D5" w:rsidRPr="0066744C" w:rsidRDefault="004C45D5" w:rsidP="00D35A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средства федерального бюджета - 0  рублей;                                     </w:t>
            </w:r>
            <w:r w:rsidRPr="0066744C">
              <w:rPr>
                <w:rFonts w:ascii="Times New Roman" w:hAnsi="Times New Roman"/>
                <w:sz w:val="24"/>
              </w:rPr>
              <w:br/>
              <w:t>средства обл</w:t>
            </w:r>
            <w:r w:rsidR="00C369A0" w:rsidRPr="0066744C">
              <w:rPr>
                <w:rFonts w:ascii="Times New Roman" w:hAnsi="Times New Roman"/>
                <w:sz w:val="24"/>
              </w:rPr>
              <w:t xml:space="preserve">астного бюджета – 0 </w:t>
            </w:r>
            <w:r w:rsidRPr="0066744C">
              <w:rPr>
                <w:rFonts w:ascii="Times New Roman" w:hAnsi="Times New Roman"/>
                <w:sz w:val="24"/>
              </w:rPr>
              <w:t xml:space="preserve"> рублей;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средства местного (районного) бюджета </w:t>
            </w:r>
            <w:r w:rsidR="00C369A0" w:rsidRPr="0066744C">
              <w:rPr>
                <w:rFonts w:ascii="Times New Roman" w:hAnsi="Times New Roman"/>
                <w:sz w:val="24"/>
              </w:rPr>
              <w:t>–</w:t>
            </w:r>
            <w:r w:rsidRPr="0066744C">
              <w:rPr>
                <w:rFonts w:ascii="Times New Roman" w:hAnsi="Times New Roman"/>
                <w:sz w:val="24"/>
              </w:rPr>
              <w:t xml:space="preserve"> </w:t>
            </w:r>
            <w:r w:rsidR="009B7694" w:rsidRPr="0066744C">
              <w:rPr>
                <w:rFonts w:ascii="Times New Roman" w:hAnsi="Times New Roman"/>
                <w:sz w:val="24"/>
              </w:rPr>
              <w:t>5</w:t>
            </w:r>
            <w:r w:rsidR="009B7694">
              <w:rPr>
                <w:rFonts w:ascii="Times New Roman" w:hAnsi="Times New Roman"/>
                <w:sz w:val="24"/>
              </w:rPr>
              <w:t>94 450</w:t>
            </w:r>
            <w:r w:rsidR="009B7694" w:rsidRPr="0066744C">
              <w:rPr>
                <w:rFonts w:ascii="Times New Roman" w:hAnsi="Times New Roman"/>
                <w:sz w:val="24"/>
              </w:rPr>
              <w:t xml:space="preserve">,00   </w:t>
            </w:r>
            <w:r w:rsidRPr="0066744C">
              <w:rPr>
                <w:rFonts w:ascii="Times New Roman" w:hAnsi="Times New Roman"/>
                <w:sz w:val="24"/>
              </w:rPr>
              <w:t xml:space="preserve">рублей; </w:t>
            </w:r>
            <w:r w:rsidRPr="0066744C">
              <w:rPr>
                <w:rFonts w:ascii="Times New Roman" w:hAnsi="Times New Roman"/>
                <w:sz w:val="24"/>
              </w:rPr>
              <w:br/>
              <w:t>внебюджетные источники – по факту поступления</w:t>
            </w:r>
            <w:r w:rsidR="00C369A0" w:rsidRPr="0066744C">
              <w:rPr>
                <w:rFonts w:ascii="Times New Roman" w:hAnsi="Times New Roman"/>
                <w:sz w:val="24"/>
              </w:rPr>
              <w:t xml:space="preserve"> </w:t>
            </w:r>
            <w:r w:rsidRPr="0066744C"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</w:tr>
    </w:tbl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A314C2" w:rsidRPr="00A314C2" w:rsidRDefault="00A314C2" w:rsidP="00A314C2">
      <w:pPr>
        <w:ind w:left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I</w:t>
      </w:r>
      <w:r w:rsidRPr="00A314C2">
        <w:rPr>
          <w:b/>
          <w:sz w:val="26"/>
          <w:szCs w:val="26"/>
          <w:u w:val="single"/>
        </w:rPr>
        <w:t>. Содержание проблемы и обоснование необходимости ее решения программными методами</w:t>
      </w:r>
    </w:p>
    <w:p w:rsidR="00A314C2" w:rsidRPr="00A314C2" w:rsidRDefault="00A314C2" w:rsidP="00A314C2">
      <w:pPr>
        <w:jc w:val="center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АНАЛИЗ</w:t>
      </w:r>
      <w:r w:rsidRPr="00A314C2">
        <w:rPr>
          <w:sz w:val="26"/>
          <w:szCs w:val="26"/>
        </w:rPr>
        <w:t xml:space="preserve"> </w:t>
      </w:r>
      <w:r w:rsidRPr="00A314C2">
        <w:rPr>
          <w:rFonts w:eastAsia="Times New Roman"/>
          <w:sz w:val="26"/>
          <w:szCs w:val="26"/>
        </w:rPr>
        <w:t>ОПЕРАТИВНОЙ  ОБСТАНОВКИ</w:t>
      </w:r>
      <w:r w:rsidRPr="00A314C2">
        <w:rPr>
          <w:sz w:val="26"/>
          <w:szCs w:val="26"/>
        </w:rPr>
        <w:t xml:space="preserve"> </w:t>
      </w:r>
    </w:p>
    <w:p w:rsidR="00A314C2" w:rsidRPr="00A314C2" w:rsidRDefault="00A314C2" w:rsidP="00A314C2">
      <w:pPr>
        <w:jc w:val="center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на территории Устьянского района</w:t>
      </w:r>
      <w:r w:rsidRPr="00A314C2">
        <w:rPr>
          <w:sz w:val="26"/>
          <w:szCs w:val="26"/>
        </w:rPr>
        <w:t xml:space="preserve"> </w:t>
      </w:r>
      <w:r w:rsidRPr="00A314C2">
        <w:rPr>
          <w:rFonts w:eastAsia="Times New Roman"/>
          <w:sz w:val="26"/>
          <w:szCs w:val="26"/>
        </w:rPr>
        <w:t>за январь-сентябрь 2018 года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Общие сведения о состоянии преступности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отчетном периоде увеличилось число совершённых: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убийств - в 2,0р. (с 1 до 2; область - -34,3%);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умышленных причинений тяжкого вреда здоровью -  на 20,0% (с 5 до 6; область - +4,8%);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мошенничеств -  на 35,3% (с 17 до 23; область - +0,9%);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угонов автотранспорта  - в 3,0р. (с 4 до 12; область - +17,0%). 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то же время меньше зарегистрировано: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грабежей -  на 11,1% (с 9 до 8; область - -18,7%);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краж -  на 22,0% (со 127 до 99; область - -13,6%);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поджогов -  на 50,0% (с 4 до 2; область - -14,2%). 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Социально-криминологическая характеристика преступности.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Раскрытие преступлений.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A314C2" w:rsidRPr="00A314C2" w:rsidRDefault="00A314C2" w:rsidP="00A314C2">
      <w:pPr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color w:val="FF0000"/>
          <w:sz w:val="26"/>
          <w:szCs w:val="26"/>
        </w:rPr>
        <w:t xml:space="preserve">       </w:t>
      </w:r>
      <w:r w:rsidRPr="00A314C2">
        <w:rPr>
          <w:rFonts w:eastAsia="Times New Roman"/>
          <w:sz w:val="26"/>
          <w:szCs w:val="26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Возросла раскрываемость: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причинений среднего, лёгкого вреда здоровью, побоев - с 88,9% до 95,2% (область - 71,9%);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грабежей - с 87,5% до 100,0% (область - 81,1%);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поджогов - с 0,0% до 33,3% (область - 35,2%);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угонов автотранспорта  - с 75,0% до 100,0% (область - 91,5%);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связанных с незаконным оборотом наркотиков - с 0,0% до 75,0% (область - 64,2%);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то же время снизилась раскрываемость: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умышленных причинений тяжкого вреда здоровью - со 100,0% до 80,0% (область - 95,0%);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мошенничеств - с 55,9% до 16,0% (область - 33,7%);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краж - с 55,6% до 50,5% (область - 48,0%);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вовлечений несовершеннолетних в совершение преступлений - со 100,0% до 0,0% (область - 100,0%).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Выявление лиц, совершивших преступления.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Всего в отчетном периоде выявлено 209 (-8,7%; с 229 до 209; область - -4,0%) лиц, совершивших преступления.</w:t>
      </w:r>
    </w:p>
    <w:p w:rsidR="00A314C2" w:rsidRPr="00A314C2" w:rsidRDefault="00A314C2" w:rsidP="00A314C2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Противодействие организованной преступности и незаконному обороту наркотиков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При помощи оперативных данных раскрыто 2 (-71,4%; область - -9,3%) преступления экономической направленности.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суд не направлено ни одного уголовного дела, возбужденным по преступлениям экономической направленности.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Сократилось  на 33,3% (с 3 до 2; область - -22,6%) количество выявленных лиц, совершивших экономические преступления.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Профилактика преступности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умышленных причинений легкого вреда здоровью, побоев  -  на 6,3% (с 16 до 17; область - +9,0%);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неисполнения обязанностей   по воспитанию н/летнего  -  с 0 до 1 (область - -28,6%). 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то же время сократилось число выявленных фактов: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умышленных причинений средней тяжести вреда здоровью  -  на 55,6% (с 9 до 4; область - +24,6%);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истязаний  -  на 33,3% (с 3 до 2; область - +9,3%);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 - угроз убийством или причинением тяжкого вреда здоровью -  на 25,0% (с 16 до 12; область - +15,8%);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связанных с незаконным оборотом оружия -  на 20,0% (с 5 до 4; область - +25,7%). 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На 10,0% (с 20 до 22; область - -22,7%) увеличилось количество зарегистрированных преступлений на бытовой почве.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Удельный вес бытовых преступлений, в числе расследованных, возрос  на 2,1% (с 7,5% до 9,6%; область - 7,4%).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Административная практика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A314C2" w:rsidRPr="00A314C2" w:rsidRDefault="00A314C2" w:rsidP="00A314C2">
      <w:pPr>
        <w:tabs>
          <w:tab w:val="left" w:pos="6379"/>
        </w:tabs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20.20 КоАП РФ (распитие спиртных напитков) - 44 АППГ- 132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20.21 КоАП РФ (появление в состоянии опьянения) – 286 АППГ- 1086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20.1   КоАП РФ (мелкое хулиганство)</w:t>
      </w:r>
      <w:r w:rsidRPr="00A314C2">
        <w:rPr>
          <w:rFonts w:eastAsia="Times New Roman"/>
          <w:sz w:val="26"/>
          <w:szCs w:val="26"/>
        </w:rPr>
        <w:tab/>
        <w:t>- 56</w:t>
      </w:r>
      <w:r w:rsidRPr="00A314C2">
        <w:rPr>
          <w:rFonts w:eastAsia="Times New Roman"/>
          <w:sz w:val="26"/>
          <w:szCs w:val="26"/>
        </w:rPr>
        <w:tab/>
        <w:t>АППГ-54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20.22 КоАП РФ (появление в состоянии опьянения н/л)</w:t>
      </w:r>
      <w:r w:rsidRPr="00A314C2">
        <w:rPr>
          <w:rFonts w:eastAsia="Times New Roman"/>
          <w:sz w:val="26"/>
          <w:szCs w:val="26"/>
        </w:rPr>
        <w:tab/>
        <w:t>- 26</w:t>
      </w:r>
      <w:r w:rsidRPr="00A314C2">
        <w:rPr>
          <w:rFonts w:eastAsia="Times New Roman"/>
          <w:sz w:val="26"/>
          <w:szCs w:val="26"/>
        </w:rPr>
        <w:tab/>
        <w:t>АППГ- 9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6.23 КоАП РФ (вовлечение н/л в процесс потребления табака) - 4 (АППГ - 10)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6.24 КоАП РФ (курение в не устан. местах) –4 (АППГ- 16)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3) В сфере незаконного оборота алкогольной продукции пресечено 28 правонарушений (АППГ- 33):</w:t>
      </w:r>
    </w:p>
    <w:p w:rsidR="00A314C2" w:rsidRPr="00A314C2" w:rsidRDefault="00A314C2" w:rsidP="00A314C2">
      <w:pPr>
        <w:ind w:firstLine="567"/>
        <w:contextualSpacing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14.1 КоАП РФ (незаконное предпринимательство) –  1 (АППГ- 6).</w:t>
      </w:r>
    </w:p>
    <w:p w:rsidR="00A314C2" w:rsidRPr="00A314C2" w:rsidRDefault="00A314C2" w:rsidP="00A314C2">
      <w:pPr>
        <w:ind w:firstLine="567"/>
        <w:contextualSpacing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14.2 КоАП РФ (продажа товаров реализация которых запрещена)  - 4 (АППГ- 23).</w:t>
      </w:r>
    </w:p>
    <w:p w:rsidR="00A314C2" w:rsidRPr="00A314C2" w:rsidRDefault="00A314C2" w:rsidP="00A314C2">
      <w:pPr>
        <w:ind w:firstLine="567"/>
        <w:contextualSpacing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14.16 КоАП РФ (продажа с/н несовершеннолетним) – 2 (АППГ- 0).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14.17.1 КоАП РФ (продажа с/ж физическими лицами) - 21 (АППГ - 4).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4) В сфере незаконного оборота наркотических средств  – 9 (АППГ - 9).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 ст. 6.8 КоАП РФ     (хранение наркотич. веществ)     - 0 (АППГ- 2).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 ст. 6.9 КоАП РФ     (потребление наркотич. веществ) – 8 (АППГ – 5).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- ст. 6.9.1 КоАП РФ (укл. от прохожд. диагностики, лечения от наркомании) - 0 (АППГ – 1).</w:t>
      </w:r>
    </w:p>
    <w:p w:rsidR="00A314C2" w:rsidRPr="00A314C2" w:rsidRDefault="00A314C2" w:rsidP="00A314C2">
      <w:pPr>
        <w:ind w:firstLine="567"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-  ст.10.5.1 КоАП РФ – (нез. культ. растений, сод. наркотические средства) - 1 (АППГ- 1). 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5) Пресечено правонарушений по ст. 6.1.1 КоАП РФ (побои) - 174 (АППГ - 183).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 xml:space="preserve">6) Пресечено правонарушений по ст. 7.27 (мелкое хищение)  -  63 (АППГ - 91). </w:t>
      </w:r>
    </w:p>
    <w:p w:rsidR="00A314C2" w:rsidRPr="00A314C2" w:rsidRDefault="00A314C2" w:rsidP="00A314C2">
      <w:pPr>
        <w:ind w:firstLine="567"/>
        <w:contextualSpacing/>
        <w:jc w:val="both"/>
        <w:rPr>
          <w:rFonts w:eastAsia="Times New Roman"/>
          <w:color w:val="FF0000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Наложено 246,0 тыс. руб., взыскано 198,0 тыс. руб., взыскаемость 80 % (АППГ - 47 %).</w:t>
      </w:r>
      <w:r w:rsidRPr="00A314C2">
        <w:rPr>
          <w:rFonts w:eastAsia="Times New Roman"/>
          <w:color w:val="FF0000"/>
          <w:sz w:val="26"/>
          <w:szCs w:val="26"/>
        </w:rPr>
        <w:t xml:space="preserve"> </w:t>
      </w:r>
      <w:r w:rsidRPr="00A314C2">
        <w:rPr>
          <w:rFonts w:eastAsia="Times New Roman"/>
          <w:sz w:val="26"/>
          <w:szCs w:val="26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A314C2">
        <w:rPr>
          <w:rFonts w:eastAsia="Times New Roman"/>
          <w:color w:val="FF0000"/>
          <w:sz w:val="26"/>
          <w:szCs w:val="26"/>
        </w:rPr>
        <w:t xml:space="preserve"> </w:t>
      </w:r>
    </w:p>
    <w:p w:rsidR="00A314C2" w:rsidRPr="00A314C2" w:rsidRDefault="00A314C2" w:rsidP="00A314C2">
      <w:pPr>
        <w:ind w:firstLine="567"/>
        <w:rPr>
          <w:rFonts w:eastAsia="Times New Roman"/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Безопасность дорожного движения</w:t>
      </w:r>
    </w:p>
    <w:p w:rsidR="00A314C2" w:rsidRPr="00A314C2" w:rsidRDefault="00A314C2" w:rsidP="00A314C2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6"/>
          <w:szCs w:val="26"/>
        </w:rPr>
      </w:pPr>
      <w:r w:rsidRPr="00A314C2">
        <w:rPr>
          <w:rStyle w:val="FontStyle15"/>
          <w:rFonts w:cs="Times New Roman"/>
          <w:i w:val="0"/>
          <w:sz w:val="26"/>
          <w:szCs w:val="26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A314C2" w:rsidRPr="00A314C2" w:rsidRDefault="00A314C2" w:rsidP="00A314C2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6"/>
          <w:szCs w:val="26"/>
        </w:rPr>
      </w:pPr>
      <w:r w:rsidRPr="00A314C2">
        <w:rPr>
          <w:rStyle w:val="FontStyle15"/>
          <w:rFonts w:cs="Times New Roman"/>
          <w:i w:val="0"/>
          <w:sz w:val="26"/>
          <w:szCs w:val="26"/>
        </w:rPr>
        <w:t xml:space="preserve">Состояние аварийности увеличилось на 26,9%. </w:t>
      </w:r>
    </w:p>
    <w:p w:rsidR="00A314C2" w:rsidRPr="00A314C2" w:rsidRDefault="00A314C2" w:rsidP="00A314C2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6"/>
          <w:szCs w:val="26"/>
        </w:rPr>
      </w:pPr>
      <w:r w:rsidRPr="00A314C2">
        <w:rPr>
          <w:rStyle w:val="FontStyle15"/>
          <w:rFonts w:eastAsia="Times New Roman"/>
          <w:i w:val="0"/>
          <w:sz w:val="26"/>
          <w:szCs w:val="26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A314C2" w:rsidRPr="00A314C2" w:rsidRDefault="00A314C2" w:rsidP="00A314C2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6"/>
          <w:szCs w:val="26"/>
        </w:rPr>
      </w:pPr>
      <w:r w:rsidRPr="00A314C2">
        <w:rPr>
          <w:rStyle w:val="FontStyle15"/>
          <w:rFonts w:eastAsia="Times New Roman"/>
          <w:i w:val="0"/>
          <w:sz w:val="26"/>
          <w:szCs w:val="26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A314C2" w:rsidRPr="00A314C2" w:rsidRDefault="00A314C2" w:rsidP="00A314C2">
      <w:pPr>
        <w:pStyle w:val="Style6"/>
        <w:widowControl/>
        <w:tabs>
          <w:tab w:val="left" w:pos="701"/>
        </w:tabs>
        <w:spacing w:line="240" w:lineRule="auto"/>
        <w:ind w:firstLine="567"/>
        <w:rPr>
          <w:sz w:val="26"/>
          <w:szCs w:val="26"/>
        </w:rPr>
      </w:pPr>
      <w:r w:rsidRPr="00A314C2">
        <w:rPr>
          <w:rStyle w:val="FontStyle15"/>
          <w:rFonts w:eastAsia="Times New Roman"/>
          <w:i w:val="0"/>
          <w:sz w:val="26"/>
          <w:szCs w:val="26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(неучтенные без пострадавших) (АППГ – 173).</w:t>
      </w:r>
    </w:p>
    <w:p w:rsidR="00A314C2" w:rsidRPr="00A314C2" w:rsidRDefault="00A314C2" w:rsidP="00A314C2">
      <w:pPr>
        <w:ind w:firstLine="360"/>
        <w:jc w:val="center"/>
        <w:rPr>
          <w:b/>
          <w:sz w:val="26"/>
          <w:szCs w:val="26"/>
          <w:u w:val="single"/>
        </w:rPr>
      </w:pPr>
    </w:p>
    <w:p w:rsidR="00A314C2" w:rsidRPr="00A314C2" w:rsidRDefault="00A314C2" w:rsidP="00A314C2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II</w:t>
      </w:r>
      <w:r w:rsidRPr="00A314C2">
        <w:rPr>
          <w:b/>
          <w:sz w:val="26"/>
          <w:szCs w:val="26"/>
          <w:u w:val="single"/>
        </w:rPr>
        <w:t>. Основные цели и задачи, сроки реализации Программы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Основными целями Программы являются:</w:t>
      </w:r>
    </w:p>
    <w:p w:rsidR="00A314C2" w:rsidRPr="00A314C2" w:rsidRDefault="00A314C2" w:rsidP="00A314C2">
      <w:pPr>
        <w:numPr>
          <w:ilvl w:val="0"/>
          <w:numId w:val="6"/>
        </w:numPr>
        <w:ind w:left="284" w:firstLine="1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Предупреждение преступлений, терроризма, экстремизма.</w:t>
      </w:r>
    </w:p>
    <w:p w:rsidR="00A314C2" w:rsidRPr="00A314C2" w:rsidRDefault="00A314C2" w:rsidP="00A314C2">
      <w:pPr>
        <w:ind w:firstLine="284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В том числе: </w:t>
      </w:r>
    </w:p>
    <w:p w:rsidR="00A314C2" w:rsidRPr="00A314C2" w:rsidRDefault="00A314C2" w:rsidP="00A314C2">
      <w:pPr>
        <w:ind w:firstLine="284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</w:t>
      </w:r>
    </w:p>
    <w:p w:rsidR="00A314C2" w:rsidRPr="00A314C2" w:rsidRDefault="00A314C2" w:rsidP="00A314C2">
      <w:pPr>
        <w:ind w:firstLine="284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Материально-техническое обеспечение отдела по мобилизационной работе, службы ЕДДС.</w:t>
      </w:r>
    </w:p>
    <w:p w:rsidR="00A314C2" w:rsidRPr="00A314C2" w:rsidRDefault="00A314C2" w:rsidP="00A314C2">
      <w:pPr>
        <w:ind w:firstLine="284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</w:p>
    <w:p w:rsidR="00A314C2" w:rsidRPr="00A314C2" w:rsidRDefault="00A314C2" w:rsidP="00A314C2">
      <w:pPr>
        <w:ind w:left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 решение следующих задач в рамках действующего законодательства: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противодействие и профилактика экстремисткой деятельности (экстремизму) (в соответствии со стратегией противодействия экстремизму и терроризму в Российской Федерации Утверждена Президентом РФ 28.11.2014г., Пр-2753);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- проведение в рамках антитеррористической комиссии администрации муниципального образования «Устьянский муниципальный район» рассмотрение вопросов предупреждения экстремисткой деятельности не мене 4-х раз в год (1на комиссия в квартал) согласно целевому показателю № 1 таблица 1; 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реализация Администрацией МО «Устьянский район» координации действий антитеррористических  мероприятий и обеспечение общественного порядка;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предупреждение посягательств на государственную и иную собственность, выявление и предупреждение правонарушений и преступлений;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укрепление материально-технической базы;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работа единой системы мониторинга в сфере противодействия экстремизму;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совершенствование законодательства и правоприменительной практики в сфере противодействия экстремизму;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консолидация усилий надзорных органов,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-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A314C2" w:rsidRPr="00A314C2" w:rsidRDefault="00A314C2" w:rsidP="00A314C2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Срок реализации программы в один этап в один  этап  – 2020 - 2024 годы;</w:t>
      </w:r>
    </w:p>
    <w:p w:rsidR="00A314C2" w:rsidRPr="00A314C2" w:rsidRDefault="00A314C2" w:rsidP="00A314C2">
      <w:pPr>
        <w:ind w:firstLine="360"/>
        <w:jc w:val="center"/>
        <w:rPr>
          <w:b/>
          <w:sz w:val="26"/>
          <w:szCs w:val="26"/>
          <w:u w:val="single"/>
        </w:rPr>
      </w:pPr>
    </w:p>
    <w:p w:rsidR="00316C7B" w:rsidRPr="00A314C2" w:rsidRDefault="00316C7B" w:rsidP="00C95EEA">
      <w:pPr>
        <w:ind w:firstLine="360"/>
        <w:jc w:val="center"/>
        <w:rPr>
          <w:b/>
          <w:sz w:val="26"/>
          <w:szCs w:val="26"/>
          <w:u w:val="single"/>
        </w:rPr>
      </w:pPr>
    </w:p>
    <w:p w:rsidR="00C95EEA" w:rsidRPr="00A314C2" w:rsidRDefault="00A314C2" w:rsidP="00C95EEA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III</w:t>
      </w:r>
      <w:r w:rsidRPr="00A314C2">
        <w:rPr>
          <w:b/>
          <w:sz w:val="26"/>
          <w:szCs w:val="26"/>
          <w:u w:val="single"/>
        </w:rPr>
        <w:t xml:space="preserve">. </w:t>
      </w:r>
      <w:r w:rsidR="00C95EEA" w:rsidRPr="00A314C2">
        <w:rPr>
          <w:b/>
          <w:sz w:val="26"/>
          <w:szCs w:val="26"/>
          <w:u w:val="single"/>
        </w:rPr>
        <w:t xml:space="preserve"> Ресурсное обеспечение </w:t>
      </w:r>
      <w:r w:rsidR="00420A44" w:rsidRPr="00A314C2">
        <w:rPr>
          <w:b/>
          <w:sz w:val="26"/>
          <w:szCs w:val="26"/>
          <w:u w:val="single"/>
        </w:rPr>
        <w:t>п</w:t>
      </w:r>
      <w:r w:rsidR="00C95EEA" w:rsidRPr="00A314C2">
        <w:rPr>
          <w:b/>
          <w:sz w:val="26"/>
          <w:szCs w:val="26"/>
          <w:u w:val="single"/>
        </w:rPr>
        <w:t>рограммы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</w:t>
      </w:r>
      <w:r w:rsidR="005F1D08">
        <w:rPr>
          <w:sz w:val="26"/>
          <w:szCs w:val="26"/>
        </w:rPr>
        <w:t>согласно таблице № 3</w:t>
      </w:r>
      <w:r w:rsidRPr="00A314C2">
        <w:rPr>
          <w:sz w:val="26"/>
          <w:szCs w:val="26"/>
        </w:rPr>
        <w:t>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A314C2" w:rsidRDefault="00A314C2" w:rsidP="00D84D47">
      <w:pPr>
        <w:ind w:firstLine="360"/>
        <w:jc w:val="both"/>
        <w:rPr>
          <w:sz w:val="26"/>
          <w:szCs w:val="26"/>
          <w:highlight w:val="yellow"/>
        </w:rPr>
      </w:pPr>
    </w:p>
    <w:p w:rsidR="00D84D47" w:rsidRPr="00AD23F4" w:rsidRDefault="00D84D47" w:rsidP="00A314C2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и значения целевых показателей</w:t>
      </w:r>
    </w:p>
    <w:p w:rsidR="00A314C2" w:rsidRPr="00AD23F4" w:rsidRDefault="00A314C2" w:rsidP="00A314C2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AD23F4">
        <w:rPr>
          <w:rFonts w:ascii="Times New Roman" w:hAnsi="Times New Roman"/>
          <w:sz w:val="26"/>
          <w:szCs w:val="26"/>
        </w:rPr>
        <w:t>1. Проведение ежеквартальных комиссий с надзорными органами о ситуации по профилактике и предупреждения нарушений по антитеррористическим комиссиям, экстремизма, терроризма.</w:t>
      </w:r>
    </w:p>
    <w:p w:rsidR="00A314C2" w:rsidRPr="00AD23F4" w:rsidRDefault="00A314C2" w:rsidP="00A314C2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AD23F4">
        <w:rPr>
          <w:rFonts w:ascii="Times New Roman" w:hAnsi="Times New Roman"/>
          <w:sz w:val="26"/>
          <w:szCs w:val="26"/>
        </w:rPr>
        <w:t xml:space="preserve"> 2.Информирование  администрации муниципального образования «Устьянский муниципальный район»   о причинах и условиях совершения преступлений и административных правонарушениях и мерах по их профилактике</w:t>
      </w:r>
    </w:p>
    <w:p w:rsidR="00A314C2" w:rsidRPr="00AD23F4" w:rsidRDefault="00A314C2" w:rsidP="00A314C2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AD23F4">
        <w:rPr>
          <w:rFonts w:ascii="Times New Roman" w:hAnsi="Times New Roman"/>
          <w:sz w:val="26"/>
          <w:szCs w:val="26"/>
        </w:rPr>
        <w:t xml:space="preserve"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 зданиях). </w:t>
      </w:r>
    </w:p>
    <w:p w:rsidR="00A314C2" w:rsidRPr="00AD23F4" w:rsidRDefault="00A314C2" w:rsidP="00A314C2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AD23F4">
        <w:rPr>
          <w:rFonts w:ascii="Times New Roman" w:hAnsi="Times New Roman"/>
          <w:sz w:val="26"/>
          <w:szCs w:val="26"/>
        </w:rPr>
        <w:t>4. Проведение  командно-штабных тренировок и учений на территории района по действиям районных служб при возникновении и ликвидации последствий ЧС криминогенного, террористического, экстремистского и иных правонарушений</w:t>
      </w:r>
    </w:p>
    <w:p w:rsidR="00D84D47" w:rsidRPr="00AD23F4" w:rsidRDefault="00A314C2" w:rsidP="00A314C2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5. Мониторинг в сфере противодействия экстремисткой деятельности на территории  муниципального образования.</w:t>
      </w:r>
    </w:p>
    <w:p w:rsidR="00A314C2" w:rsidRPr="00AD23F4" w:rsidRDefault="00A314C2" w:rsidP="00A314C2">
      <w:pPr>
        <w:jc w:val="both"/>
        <w:rPr>
          <w:sz w:val="26"/>
          <w:szCs w:val="26"/>
        </w:rPr>
      </w:pPr>
    </w:p>
    <w:p w:rsidR="00D84D47" w:rsidRPr="00AD23F4" w:rsidRDefault="00D84D47" w:rsidP="00A314C2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основных мероприятий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23F4">
        <w:rPr>
          <w:sz w:val="26"/>
          <w:szCs w:val="26"/>
        </w:rPr>
        <w:t>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- Анализ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--выявление и устранение источников и каналов финансирования экстремистской деятельности;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 xml:space="preserve">Мониторинг в сфере противодействия экстремисткой деятельности на территории  муниципального образования;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 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23F4">
        <w:rPr>
          <w:sz w:val="26"/>
          <w:szCs w:val="26"/>
        </w:rPr>
        <w:t xml:space="preserve"> Продолжить практику 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 (ежемесячные планерки администрации). 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D23F4">
        <w:rPr>
          <w:sz w:val="26"/>
          <w:szCs w:val="26"/>
        </w:rPr>
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>
        <w:rPr>
          <w:sz w:val="26"/>
          <w:szCs w:val="26"/>
        </w:rPr>
        <w:t>4.м</w:t>
      </w:r>
      <w:r w:rsidRPr="00AD23F4">
        <w:rPr>
          <w:sz w:val="26"/>
          <w:szCs w:val="26"/>
        </w:rPr>
        <w:t>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</w:r>
    </w:p>
    <w:p w:rsidR="00AD23F4" w:rsidRPr="00AD23F4" w:rsidRDefault="00AD23F4" w:rsidP="00AD23F4">
      <w:pPr>
        <w:jc w:val="both"/>
        <w:rPr>
          <w:sz w:val="26"/>
          <w:szCs w:val="26"/>
        </w:rPr>
      </w:pPr>
      <w:r w:rsidRPr="00AD23F4">
        <w:rPr>
          <w:sz w:val="26"/>
          <w:szCs w:val="26"/>
        </w:rPr>
        <w:t>5.Мониторинг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</w:p>
    <w:p w:rsidR="00AD23F4" w:rsidRPr="00A314C2" w:rsidRDefault="00AD23F4" w:rsidP="00A314C2">
      <w:pPr>
        <w:ind w:firstLine="360"/>
        <w:jc w:val="center"/>
        <w:rPr>
          <w:b/>
          <w:sz w:val="26"/>
          <w:szCs w:val="26"/>
          <w:u w:val="single"/>
        </w:rPr>
      </w:pPr>
    </w:p>
    <w:p w:rsidR="00C95EEA" w:rsidRPr="00A314C2" w:rsidRDefault="00C95EEA" w:rsidP="00C95EEA">
      <w:pPr>
        <w:ind w:firstLine="540"/>
        <w:jc w:val="center"/>
        <w:outlineLvl w:val="1"/>
        <w:rPr>
          <w:sz w:val="26"/>
          <w:szCs w:val="26"/>
        </w:rPr>
      </w:pPr>
    </w:p>
    <w:p w:rsidR="00C95EEA" w:rsidRPr="00A314C2" w:rsidRDefault="00A314C2" w:rsidP="00C95EEA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IV</w:t>
      </w:r>
      <w:r w:rsidRPr="00A314C2">
        <w:rPr>
          <w:b/>
          <w:sz w:val="26"/>
          <w:szCs w:val="26"/>
          <w:u w:val="single"/>
        </w:rPr>
        <w:t xml:space="preserve">. </w:t>
      </w:r>
      <w:r w:rsidR="00C95EEA" w:rsidRPr="00A314C2">
        <w:rPr>
          <w:b/>
          <w:sz w:val="26"/>
          <w:szCs w:val="26"/>
          <w:u w:val="single"/>
        </w:rPr>
        <w:t xml:space="preserve">Механизмы реализации </w:t>
      </w:r>
      <w:r w:rsidR="00420A44" w:rsidRPr="00A314C2">
        <w:rPr>
          <w:b/>
          <w:sz w:val="26"/>
          <w:szCs w:val="26"/>
          <w:u w:val="single"/>
        </w:rPr>
        <w:t>п</w:t>
      </w:r>
      <w:r w:rsidR="00C95EEA" w:rsidRPr="00A314C2">
        <w:rPr>
          <w:b/>
          <w:sz w:val="26"/>
          <w:szCs w:val="26"/>
          <w:u w:val="single"/>
        </w:rPr>
        <w:t>рограммы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Мониторинг по выявлению субкультур</w:t>
      </w:r>
      <w:r w:rsidRPr="00A314C2">
        <w:rPr>
          <w:sz w:val="26"/>
          <w:szCs w:val="26"/>
        </w:rPr>
        <w:t xml:space="preserve"> (в</w:t>
      </w:r>
      <w:r w:rsidRPr="00A314C2">
        <w:rPr>
          <w:rFonts w:eastAsia="Times New Roman"/>
          <w:sz w:val="26"/>
          <w:szCs w:val="26"/>
        </w:rPr>
        <w:t>ыявление и профилактика участия</w:t>
      </w:r>
      <w:r w:rsidRPr="00A314C2">
        <w:rPr>
          <w:sz w:val="26"/>
          <w:szCs w:val="26"/>
        </w:rPr>
        <w:t xml:space="preserve"> взрослого населения</w:t>
      </w:r>
      <w:r w:rsidRPr="00A314C2">
        <w:rPr>
          <w:rFonts w:eastAsia="Times New Roman"/>
          <w:sz w:val="26"/>
          <w:szCs w:val="26"/>
        </w:rPr>
        <w:t xml:space="preserve"> </w:t>
      </w:r>
      <w:r w:rsidRPr="00A314C2">
        <w:rPr>
          <w:sz w:val="26"/>
          <w:szCs w:val="26"/>
        </w:rPr>
        <w:t xml:space="preserve"> и </w:t>
      </w:r>
      <w:r w:rsidRPr="00A314C2">
        <w:rPr>
          <w:rFonts w:eastAsia="Times New Roman"/>
          <w:sz w:val="26"/>
          <w:szCs w:val="26"/>
        </w:rPr>
        <w:t>школьников в организациях, осуществляющих социально негативную деятельность</w:t>
      </w:r>
      <w:r w:rsidRPr="00A314C2">
        <w:rPr>
          <w:sz w:val="26"/>
          <w:szCs w:val="26"/>
        </w:rPr>
        <w:t>).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</w:t>
      </w:r>
      <w:r w:rsidRPr="00A314C2">
        <w:rPr>
          <w:rFonts w:eastAsia="Times New Roman"/>
          <w:sz w:val="26"/>
          <w:szCs w:val="26"/>
        </w:rPr>
        <w:t>рофилактик</w:t>
      </w:r>
      <w:r w:rsidRPr="00A314C2">
        <w:rPr>
          <w:sz w:val="26"/>
          <w:szCs w:val="26"/>
        </w:rPr>
        <w:t>а</w:t>
      </w:r>
      <w:r w:rsidRPr="00A314C2">
        <w:rPr>
          <w:rFonts w:eastAsia="Times New Roman"/>
          <w:sz w:val="26"/>
          <w:szCs w:val="26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A314C2">
        <w:rPr>
          <w:sz w:val="26"/>
          <w:szCs w:val="26"/>
        </w:rPr>
        <w:t xml:space="preserve">взрослого населения и </w:t>
      </w:r>
      <w:r w:rsidRPr="00A314C2">
        <w:rPr>
          <w:rFonts w:eastAsia="Times New Roman"/>
          <w:sz w:val="26"/>
          <w:szCs w:val="26"/>
        </w:rPr>
        <w:t>несовершеннолетних</w:t>
      </w:r>
      <w:r w:rsidRPr="00A314C2">
        <w:rPr>
          <w:sz w:val="26"/>
          <w:szCs w:val="26"/>
        </w:rPr>
        <w:t>.</w:t>
      </w:r>
    </w:p>
    <w:p w:rsidR="00C95EEA" w:rsidRPr="00A314C2" w:rsidRDefault="00C95EEA" w:rsidP="00C95EEA">
      <w:pPr>
        <w:ind w:firstLine="360"/>
        <w:jc w:val="both"/>
        <w:rPr>
          <w:rFonts w:eastAsia="Times New Roman"/>
          <w:sz w:val="26"/>
          <w:szCs w:val="26"/>
        </w:rPr>
      </w:pPr>
      <w:r w:rsidRPr="00A314C2">
        <w:rPr>
          <w:sz w:val="26"/>
          <w:szCs w:val="26"/>
        </w:rPr>
        <w:t>К</w:t>
      </w:r>
      <w:r w:rsidRPr="00A314C2">
        <w:rPr>
          <w:rFonts w:eastAsia="Times New Roman"/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</w:p>
    <w:p w:rsidR="00C95EEA" w:rsidRPr="00A314C2" w:rsidRDefault="00A314C2" w:rsidP="00C95EEA">
      <w:pPr>
        <w:ind w:left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V</w:t>
      </w:r>
      <w:r w:rsidRPr="00A314C2">
        <w:rPr>
          <w:b/>
          <w:sz w:val="26"/>
          <w:szCs w:val="26"/>
          <w:u w:val="single"/>
        </w:rPr>
        <w:t xml:space="preserve">.  </w:t>
      </w:r>
      <w:r w:rsidR="00C95EEA" w:rsidRPr="00A314C2">
        <w:rPr>
          <w:b/>
          <w:sz w:val="26"/>
          <w:szCs w:val="26"/>
          <w:u w:val="single"/>
        </w:rPr>
        <w:t xml:space="preserve">Организация управления </w:t>
      </w:r>
      <w:r w:rsidR="00420A44" w:rsidRPr="00A314C2">
        <w:rPr>
          <w:b/>
          <w:sz w:val="26"/>
          <w:szCs w:val="26"/>
          <w:u w:val="single"/>
        </w:rPr>
        <w:t>и контроль за ходом реализации п</w:t>
      </w:r>
      <w:r w:rsidR="00C95EEA" w:rsidRPr="00A314C2">
        <w:rPr>
          <w:b/>
          <w:sz w:val="26"/>
          <w:szCs w:val="26"/>
          <w:u w:val="single"/>
        </w:rPr>
        <w:t>рограммы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</w:p>
    <w:p w:rsidR="00C95EEA" w:rsidRPr="00A314C2" w:rsidRDefault="00A314C2" w:rsidP="00C95EEA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VI</w:t>
      </w:r>
      <w:r w:rsidRPr="00A314C2">
        <w:rPr>
          <w:b/>
          <w:sz w:val="26"/>
          <w:szCs w:val="26"/>
          <w:u w:val="single"/>
        </w:rPr>
        <w:t xml:space="preserve">. </w:t>
      </w:r>
      <w:r w:rsidR="00C95EEA" w:rsidRPr="00A314C2">
        <w:rPr>
          <w:b/>
          <w:sz w:val="26"/>
          <w:szCs w:val="26"/>
          <w:u w:val="single"/>
        </w:rPr>
        <w:t>Прогноз конечных результатов муниципальной программы.</w:t>
      </w:r>
    </w:p>
    <w:p w:rsidR="00C95EEA" w:rsidRPr="00A314C2" w:rsidRDefault="00C95EEA" w:rsidP="00C95EEA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C95EEA" w:rsidRPr="00A314C2" w:rsidRDefault="00C95EEA" w:rsidP="00C95EEA">
      <w:pPr>
        <w:ind w:firstLine="540"/>
        <w:jc w:val="both"/>
        <w:rPr>
          <w:b/>
          <w:sz w:val="26"/>
          <w:szCs w:val="26"/>
        </w:rPr>
      </w:pPr>
      <w:r w:rsidRPr="00A314C2">
        <w:rPr>
          <w:sz w:val="26"/>
          <w:szCs w:val="26"/>
        </w:rPr>
        <w:t>1. Проведение ежеквартальных комиссий с надзорными правоохранительными органами о ситуации по профилактике и предупреждения нарушений по АТК и раскрываемости  тяжких и особо тяжких преступлений; профилактика преступления терроризма и экстремизма (</w:t>
      </w:r>
      <w:r w:rsidRPr="00A314C2">
        <w:rPr>
          <w:bCs/>
          <w:sz w:val="26"/>
          <w:szCs w:val="26"/>
        </w:rP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 реализация принципа неотвратимости наказания за осуществление экстремистской деятельности; 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 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 выявление и устранение источников и каналов финансирования экстремистской деятельности.</w:t>
      </w:r>
      <w:r w:rsidRPr="00A314C2">
        <w:rPr>
          <w:sz w:val="26"/>
          <w:szCs w:val="26"/>
        </w:rPr>
        <w:t xml:space="preserve">) - </w:t>
      </w:r>
      <w:r w:rsidR="005F1D08">
        <w:rPr>
          <w:sz w:val="26"/>
          <w:szCs w:val="26"/>
        </w:rPr>
        <w:t>20</w:t>
      </w:r>
      <w:r w:rsidRPr="00A314C2">
        <w:rPr>
          <w:sz w:val="26"/>
          <w:szCs w:val="26"/>
        </w:rPr>
        <w:t xml:space="preserve"> комиссий АТК за период </w:t>
      </w:r>
      <w:r w:rsidR="005F1D08">
        <w:rPr>
          <w:sz w:val="26"/>
          <w:szCs w:val="26"/>
        </w:rPr>
        <w:t xml:space="preserve"> учетный период</w:t>
      </w:r>
      <w:r w:rsidRPr="00A314C2">
        <w:rPr>
          <w:sz w:val="26"/>
          <w:szCs w:val="26"/>
        </w:rPr>
        <w:t xml:space="preserve"> (</w:t>
      </w:r>
      <w:r w:rsidR="00255765" w:rsidRPr="00A314C2">
        <w:rPr>
          <w:sz w:val="26"/>
          <w:szCs w:val="26"/>
        </w:rPr>
        <w:t>4</w:t>
      </w:r>
      <w:r w:rsidRPr="00A314C2">
        <w:rPr>
          <w:sz w:val="26"/>
          <w:szCs w:val="26"/>
        </w:rPr>
        <w:t>-ре комиссии в год; 1 комиссия в  квартал);</w:t>
      </w:r>
    </w:p>
    <w:p w:rsidR="00C95EEA" w:rsidRPr="00A314C2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314C2">
        <w:rPr>
          <w:rFonts w:ascii="Times New Roman" w:hAnsi="Times New Roman"/>
          <w:sz w:val="26"/>
          <w:szCs w:val="26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 w:rsidR="005F1D08">
        <w:rPr>
          <w:rFonts w:ascii="Times New Roman" w:hAnsi="Times New Roman"/>
          <w:b/>
          <w:sz w:val="26"/>
          <w:szCs w:val="26"/>
        </w:rPr>
        <w:t>60</w:t>
      </w:r>
      <w:r w:rsidRPr="00A314C2">
        <w:rPr>
          <w:rFonts w:ascii="Times New Roman" w:hAnsi="Times New Roman"/>
          <w:b/>
          <w:sz w:val="26"/>
          <w:szCs w:val="26"/>
        </w:rPr>
        <w:t xml:space="preserve"> планерок;</w:t>
      </w:r>
    </w:p>
    <w:p w:rsidR="00C95EEA" w:rsidRPr="00A314C2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314C2">
        <w:rPr>
          <w:rFonts w:ascii="Times New Roman" w:hAnsi="Times New Roman"/>
          <w:sz w:val="26"/>
          <w:szCs w:val="26"/>
        </w:rPr>
        <w:t>3.</w:t>
      </w:r>
      <w:r w:rsidRPr="00A314C2">
        <w:rPr>
          <w:rFonts w:ascii="Times New Roman" w:hAnsi="Times New Roman"/>
          <w:b/>
          <w:sz w:val="26"/>
          <w:szCs w:val="26"/>
        </w:rPr>
        <w:t xml:space="preserve">  </w:t>
      </w:r>
      <w:r w:rsidRPr="00A314C2">
        <w:rPr>
          <w:rFonts w:ascii="Times New Roman" w:hAnsi="Times New Roman"/>
          <w:sz w:val="26"/>
          <w:szCs w:val="26"/>
        </w:rPr>
        <w:t xml:space="preserve">Обучение, обмен информацией, участие в совместной работе и тренировках с районными службами при возникновении и ликвидации последствий ЧС </w:t>
      </w:r>
      <w:r w:rsidR="00723D15" w:rsidRPr="00A314C2">
        <w:rPr>
          <w:rFonts w:ascii="Times New Roman" w:hAnsi="Times New Roman"/>
          <w:sz w:val="26"/>
          <w:szCs w:val="26"/>
        </w:rPr>
        <w:t>криминогенного, террористического, экстремистского и иных правонарушений</w:t>
      </w:r>
      <w:r w:rsidRPr="00A314C2">
        <w:rPr>
          <w:rFonts w:ascii="Times New Roman" w:hAnsi="Times New Roman"/>
          <w:sz w:val="26"/>
          <w:szCs w:val="26"/>
        </w:rPr>
        <w:t xml:space="preserve">  - </w:t>
      </w:r>
      <w:r w:rsidR="005F1D08">
        <w:rPr>
          <w:rFonts w:ascii="Times New Roman" w:hAnsi="Times New Roman"/>
          <w:b/>
          <w:sz w:val="26"/>
          <w:szCs w:val="26"/>
        </w:rPr>
        <w:t>5</w:t>
      </w:r>
      <w:r w:rsidRPr="00A314C2">
        <w:rPr>
          <w:rFonts w:ascii="Times New Roman" w:hAnsi="Times New Roman"/>
          <w:b/>
          <w:sz w:val="26"/>
          <w:szCs w:val="26"/>
        </w:rPr>
        <w:t xml:space="preserve"> совместных обучени</w:t>
      </w:r>
      <w:r w:rsidR="006E7204" w:rsidRPr="00A314C2">
        <w:rPr>
          <w:rFonts w:ascii="Times New Roman" w:hAnsi="Times New Roman"/>
          <w:b/>
          <w:sz w:val="26"/>
          <w:szCs w:val="26"/>
        </w:rPr>
        <w:t xml:space="preserve">я </w:t>
      </w:r>
      <w:r w:rsidRPr="00A314C2">
        <w:rPr>
          <w:rFonts w:ascii="Times New Roman" w:hAnsi="Times New Roman"/>
          <w:b/>
          <w:sz w:val="26"/>
          <w:szCs w:val="26"/>
        </w:rPr>
        <w:t>(по факту проведения взаимодействия).</w:t>
      </w:r>
    </w:p>
    <w:p w:rsidR="00C95EEA" w:rsidRPr="00A314C2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314C2">
        <w:rPr>
          <w:rFonts w:ascii="Times New Roman" w:hAnsi="Times New Roman"/>
          <w:sz w:val="26"/>
          <w:szCs w:val="26"/>
        </w:rPr>
        <w:t>4.</w:t>
      </w:r>
      <w:r w:rsidRPr="00A314C2">
        <w:rPr>
          <w:rFonts w:ascii="Times New Roman" w:hAnsi="Times New Roman"/>
          <w:b/>
          <w:sz w:val="26"/>
          <w:szCs w:val="26"/>
        </w:rPr>
        <w:t xml:space="preserve">  </w:t>
      </w:r>
      <w:r w:rsidRPr="00A314C2">
        <w:rPr>
          <w:rFonts w:ascii="Times New Roman" w:hAnsi="Times New Roman"/>
          <w:sz w:val="26"/>
          <w:szCs w:val="26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</w:r>
      <w:r w:rsidRPr="00A314C2">
        <w:rPr>
          <w:rFonts w:ascii="Times New Roman" w:hAnsi="Times New Roman"/>
          <w:b/>
          <w:sz w:val="26"/>
          <w:szCs w:val="26"/>
        </w:rPr>
        <w:t>установка оборудования (камер), установка рамки металлодетектора.</w:t>
      </w:r>
    </w:p>
    <w:p w:rsidR="00C95EEA" w:rsidRPr="00A314C2" w:rsidRDefault="00C95EEA" w:rsidP="00C95EE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A314C2">
        <w:rPr>
          <w:rFonts w:ascii="Times New Roman" w:hAnsi="Times New Roman"/>
          <w:sz w:val="26"/>
          <w:szCs w:val="26"/>
        </w:rPr>
        <w:t>5. 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 - информирование населения через СМИ (1 раз в полугодие), интернет ресурсы (ежеквартально); проведение семинаров - направленное изучение тематических рекомендаций населением через листовки, буклеты.</w:t>
      </w:r>
    </w:p>
    <w:p w:rsidR="00C95EEA" w:rsidRPr="00A314C2" w:rsidRDefault="00C95EEA" w:rsidP="00C95EE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C95EEA" w:rsidRPr="00A314C2" w:rsidRDefault="00A314C2" w:rsidP="00C95EEA">
      <w:pPr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  <w:lang w:val="en-US"/>
        </w:rPr>
        <w:t>VII</w:t>
      </w:r>
      <w:r w:rsidRPr="00A314C2">
        <w:rPr>
          <w:b/>
          <w:sz w:val="26"/>
          <w:szCs w:val="26"/>
          <w:u w:val="single"/>
        </w:rPr>
        <w:t xml:space="preserve">. </w:t>
      </w:r>
      <w:r w:rsidR="00C95EEA" w:rsidRPr="00A314C2">
        <w:rPr>
          <w:b/>
          <w:sz w:val="26"/>
          <w:szCs w:val="26"/>
          <w:u w:val="single"/>
        </w:rPr>
        <w:t>Перечень программных мероприятий</w:t>
      </w:r>
    </w:p>
    <w:p w:rsidR="00C95EEA" w:rsidRPr="00A314C2" w:rsidRDefault="00C95EEA" w:rsidP="0066744C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A314C2">
        <w:rPr>
          <w:rFonts w:ascii="Times New Roman" w:hAnsi="Times New Roman"/>
          <w:sz w:val="26"/>
          <w:szCs w:val="26"/>
        </w:rPr>
        <w:t xml:space="preserve">Перечень целевых показателей к программе № 1; Перечень </w:t>
      </w:r>
      <w:r w:rsidR="0066744C" w:rsidRPr="00A314C2">
        <w:rPr>
          <w:rFonts w:ascii="Times New Roman" w:hAnsi="Times New Roman"/>
          <w:sz w:val="26"/>
          <w:szCs w:val="26"/>
        </w:rPr>
        <w:t>расчета целевых показателей</w:t>
      </w:r>
      <w:r w:rsidRPr="00A314C2">
        <w:rPr>
          <w:rFonts w:ascii="Times New Roman" w:hAnsi="Times New Roman"/>
          <w:sz w:val="26"/>
          <w:szCs w:val="26"/>
        </w:rPr>
        <w:t xml:space="preserve"> № 2; Перечень </w:t>
      </w:r>
      <w:r w:rsidR="0066744C" w:rsidRPr="00A314C2">
        <w:rPr>
          <w:rFonts w:ascii="Times New Roman" w:hAnsi="Times New Roman"/>
          <w:bCs/>
          <w:sz w:val="26"/>
          <w:szCs w:val="26"/>
        </w:rPr>
        <w:t>мероприятий муниципальной программы</w:t>
      </w:r>
      <w:r w:rsidR="0066744C" w:rsidRPr="00A314C2">
        <w:rPr>
          <w:rFonts w:ascii="Times New Roman" w:hAnsi="Times New Roman"/>
          <w:sz w:val="26"/>
          <w:szCs w:val="26"/>
        </w:rPr>
        <w:t xml:space="preserve"> № 3; Распределение объемов финансирования программы по источникам, направлениям расходования средств и годам № 4</w:t>
      </w:r>
    </w:p>
    <w:p w:rsidR="004C45D5" w:rsidRPr="00A314C2" w:rsidRDefault="004C45D5" w:rsidP="00C95EEA">
      <w:pPr>
        <w:pBdr>
          <w:bottom w:val="single" w:sz="12" w:space="1" w:color="auto"/>
        </w:pBdr>
        <w:ind w:left="360"/>
        <w:jc w:val="center"/>
        <w:rPr>
          <w:sz w:val="26"/>
          <w:szCs w:val="26"/>
        </w:rPr>
      </w:pPr>
    </w:p>
    <w:sectPr w:rsidR="004C45D5" w:rsidRPr="00A314C2" w:rsidSect="005F1D08">
      <w:pgSz w:w="11906" w:h="16838" w:code="9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25" w:rsidRDefault="00756425" w:rsidP="008863DB">
      <w:r>
        <w:separator/>
      </w:r>
    </w:p>
  </w:endnote>
  <w:endnote w:type="continuationSeparator" w:id="0">
    <w:p w:rsidR="00756425" w:rsidRDefault="00756425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25" w:rsidRDefault="00756425" w:rsidP="008863DB">
      <w:r>
        <w:separator/>
      </w:r>
    </w:p>
  </w:footnote>
  <w:footnote w:type="continuationSeparator" w:id="0">
    <w:p w:rsidR="00756425" w:rsidRDefault="00756425" w:rsidP="0088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CF"/>
    <w:multiLevelType w:val="hybridMultilevel"/>
    <w:tmpl w:val="6FA0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3">
    <w:nsid w:val="19ED3DD7"/>
    <w:multiLevelType w:val="hybridMultilevel"/>
    <w:tmpl w:val="DBF6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5">
    <w:nsid w:val="4DCD095A"/>
    <w:multiLevelType w:val="hybridMultilevel"/>
    <w:tmpl w:val="5E229AC4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5"/>
    <w:rsid w:val="00015D3D"/>
    <w:rsid w:val="00026D26"/>
    <w:rsid w:val="000405B9"/>
    <w:rsid w:val="000457F7"/>
    <w:rsid w:val="00095D4A"/>
    <w:rsid w:val="000C096E"/>
    <w:rsid w:val="000D049A"/>
    <w:rsid w:val="000F2EC8"/>
    <w:rsid w:val="0012525D"/>
    <w:rsid w:val="00131EC8"/>
    <w:rsid w:val="001575F3"/>
    <w:rsid w:val="00157AD7"/>
    <w:rsid w:val="00187070"/>
    <w:rsid w:val="001956EF"/>
    <w:rsid w:val="001C06C1"/>
    <w:rsid w:val="001D0FC1"/>
    <w:rsid w:val="001D461E"/>
    <w:rsid w:val="001E6902"/>
    <w:rsid w:val="00220105"/>
    <w:rsid w:val="0023296E"/>
    <w:rsid w:val="00232F7B"/>
    <w:rsid w:val="00255765"/>
    <w:rsid w:val="00295A28"/>
    <w:rsid w:val="00295D8D"/>
    <w:rsid w:val="002C7ECF"/>
    <w:rsid w:val="002F0CBB"/>
    <w:rsid w:val="00316C7B"/>
    <w:rsid w:val="00372B12"/>
    <w:rsid w:val="00381EB7"/>
    <w:rsid w:val="00391F78"/>
    <w:rsid w:val="003E1E6E"/>
    <w:rsid w:val="00420A44"/>
    <w:rsid w:val="0046510D"/>
    <w:rsid w:val="00470973"/>
    <w:rsid w:val="00487613"/>
    <w:rsid w:val="004B4488"/>
    <w:rsid w:val="004B5335"/>
    <w:rsid w:val="004C45D5"/>
    <w:rsid w:val="00536CCD"/>
    <w:rsid w:val="00542131"/>
    <w:rsid w:val="005A6232"/>
    <w:rsid w:val="005A7E44"/>
    <w:rsid w:val="005F1D08"/>
    <w:rsid w:val="00611CE7"/>
    <w:rsid w:val="00620888"/>
    <w:rsid w:val="0066744C"/>
    <w:rsid w:val="006E3187"/>
    <w:rsid w:val="006E6F64"/>
    <w:rsid w:val="006E7204"/>
    <w:rsid w:val="007103B7"/>
    <w:rsid w:val="00723D15"/>
    <w:rsid w:val="00735C27"/>
    <w:rsid w:val="00756425"/>
    <w:rsid w:val="00790379"/>
    <w:rsid w:val="007D24B4"/>
    <w:rsid w:val="007D7E50"/>
    <w:rsid w:val="00803AC8"/>
    <w:rsid w:val="00845670"/>
    <w:rsid w:val="00873904"/>
    <w:rsid w:val="008863DB"/>
    <w:rsid w:val="0088781C"/>
    <w:rsid w:val="00887884"/>
    <w:rsid w:val="008879FE"/>
    <w:rsid w:val="008E3393"/>
    <w:rsid w:val="008F2D1D"/>
    <w:rsid w:val="008F7257"/>
    <w:rsid w:val="0090155A"/>
    <w:rsid w:val="00925E27"/>
    <w:rsid w:val="009312B8"/>
    <w:rsid w:val="00973183"/>
    <w:rsid w:val="009735E3"/>
    <w:rsid w:val="0097468D"/>
    <w:rsid w:val="00975719"/>
    <w:rsid w:val="00997C41"/>
    <w:rsid w:val="009B4F32"/>
    <w:rsid w:val="009B7694"/>
    <w:rsid w:val="009C557E"/>
    <w:rsid w:val="009E7445"/>
    <w:rsid w:val="00A06B37"/>
    <w:rsid w:val="00A314C2"/>
    <w:rsid w:val="00A478B4"/>
    <w:rsid w:val="00A65A30"/>
    <w:rsid w:val="00A85F96"/>
    <w:rsid w:val="00AB36D6"/>
    <w:rsid w:val="00AC2003"/>
    <w:rsid w:val="00AC6733"/>
    <w:rsid w:val="00AC77E3"/>
    <w:rsid w:val="00AC7EE2"/>
    <w:rsid w:val="00AD0A0C"/>
    <w:rsid w:val="00AD23F4"/>
    <w:rsid w:val="00B110FD"/>
    <w:rsid w:val="00BB5B7E"/>
    <w:rsid w:val="00BD306E"/>
    <w:rsid w:val="00BE4BD9"/>
    <w:rsid w:val="00C03999"/>
    <w:rsid w:val="00C30670"/>
    <w:rsid w:val="00C369A0"/>
    <w:rsid w:val="00C511BE"/>
    <w:rsid w:val="00C61DA6"/>
    <w:rsid w:val="00C80D89"/>
    <w:rsid w:val="00C95EEA"/>
    <w:rsid w:val="00CB5BAC"/>
    <w:rsid w:val="00CB605A"/>
    <w:rsid w:val="00CE2C5F"/>
    <w:rsid w:val="00CF3F0D"/>
    <w:rsid w:val="00D22376"/>
    <w:rsid w:val="00D35A5D"/>
    <w:rsid w:val="00D47BD3"/>
    <w:rsid w:val="00D7171D"/>
    <w:rsid w:val="00D71BB0"/>
    <w:rsid w:val="00D72892"/>
    <w:rsid w:val="00D84D47"/>
    <w:rsid w:val="00DB698E"/>
    <w:rsid w:val="00E84AE8"/>
    <w:rsid w:val="00EC0199"/>
    <w:rsid w:val="00EC3634"/>
    <w:rsid w:val="00ED73DF"/>
    <w:rsid w:val="00EF7746"/>
    <w:rsid w:val="00F043BB"/>
    <w:rsid w:val="00F04F50"/>
    <w:rsid w:val="00F377B4"/>
    <w:rsid w:val="00F6391A"/>
    <w:rsid w:val="00F91F6C"/>
    <w:rsid w:val="00F92FCF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470973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470973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95CF-03E9-4E05-AEA9-17C633A1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22680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3</cp:revision>
  <cp:lastPrinted>2022-04-12T09:19:00Z</cp:lastPrinted>
  <dcterms:created xsi:type="dcterms:W3CDTF">2022-04-13T06:19:00Z</dcterms:created>
  <dcterms:modified xsi:type="dcterms:W3CDTF">2022-04-13T06:19:00Z</dcterms:modified>
</cp:coreProperties>
</file>