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043A82" w:rsidP="00043A82">
      <w:pPr>
        <w:pStyle w:val="a3"/>
        <w:rPr>
          <w:rFonts w:ascii="Times New Roman" w:hAnsi="Times New Roman" w:cs="Times New Roman"/>
          <w:sz w:val="28"/>
          <w:szCs w:val="28"/>
        </w:rPr>
      </w:pPr>
      <w:r w:rsidRPr="00043A82">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F65691">
        <w:rPr>
          <w:rFonts w:ascii="Times New Roman" w:hAnsi="Times New Roman" w:cs="Times New Roman"/>
          <w:sz w:val="28"/>
          <w:szCs w:val="28"/>
        </w:rPr>
        <w:t>Ростовско-Минское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043A82">
        <w:rPr>
          <w:rFonts w:ascii="Times New Roman" w:hAnsi="Times New Roman" w:cs="Times New Roman"/>
          <w:sz w:val="28"/>
          <w:szCs w:val="28"/>
        </w:rPr>
        <w:t>утвержденны</w:t>
      </w:r>
      <w:r>
        <w:rPr>
          <w:rFonts w:ascii="Times New Roman" w:hAnsi="Times New Roman" w:cs="Times New Roman"/>
          <w:sz w:val="28"/>
          <w:szCs w:val="28"/>
        </w:rPr>
        <w:t>е</w:t>
      </w:r>
      <w:r w:rsidRPr="00043A82">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517</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F65691">
        <w:rPr>
          <w:rFonts w:ascii="Times New Roman" w:hAnsi="Times New Roman" w:cs="Times New Roman"/>
          <w:sz w:val="24"/>
          <w:szCs w:val="24"/>
        </w:rPr>
        <w:t>РОСТОВСКО-МИНСКОЕ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4F7903" w:rsidRPr="00A97A2E"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4F7903" w:rsidRPr="00A97A2E" w:rsidRDefault="004F7903" w:rsidP="004F7903">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4F7903" w:rsidRPr="00A97A2E" w:rsidTr="00A97A2E">
        <w:trPr>
          <w:trHeight w:val="1518"/>
        </w:trPr>
        <w:tc>
          <w:tcPr>
            <w:tcW w:w="4173" w:type="dxa"/>
          </w:tcPr>
          <w:p w:rsidR="004F7903" w:rsidRPr="00A97A2E" w:rsidRDefault="004F7903" w:rsidP="00A97A2E">
            <w:pPr>
              <w:pStyle w:val="ConsPlusNormal"/>
              <w:rPr>
                <w:rFonts w:ascii="Times New Roman" w:hAnsi="Times New Roman" w:cs="Times New Roman"/>
                <w:sz w:val="24"/>
                <w:szCs w:val="24"/>
              </w:rPr>
            </w:pPr>
            <w:r w:rsidRPr="00A97A2E">
              <w:rPr>
                <w:rFonts w:ascii="Times New Roman" w:hAnsi="Times New Roman" w:cs="Times New Roman"/>
                <w:sz w:val="24"/>
                <w:szCs w:val="24"/>
              </w:rPr>
              <w:t xml:space="preserve">Уровень обеспеченности </w:t>
            </w:r>
            <w:proofErr w:type="gramStart"/>
            <w:r w:rsidRPr="00A97A2E">
              <w:rPr>
                <w:rFonts w:ascii="Times New Roman" w:hAnsi="Times New Roman" w:cs="Times New Roman"/>
                <w:sz w:val="24"/>
                <w:szCs w:val="24"/>
              </w:rPr>
              <w:t>централизованным</w:t>
            </w:r>
            <w:proofErr w:type="gramEnd"/>
          </w:p>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sz w:val="24"/>
                <w:szCs w:val="24"/>
              </w:rPr>
              <w:t>газоснабжением вне зон действия источников централизованного теплоснабжения, %</w:t>
            </w:r>
          </w:p>
        </w:tc>
        <w:tc>
          <w:tcPr>
            <w:tcW w:w="5442" w:type="dxa"/>
          </w:tcPr>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rPr>
              <w:t>100</w:t>
            </w:r>
          </w:p>
        </w:tc>
      </w:tr>
    </w:tbl>
    <w:p w:rsidR="004F7903" w:rsidRPr="00A97A2E" w:rsidRDefault="004F7903" w:rsidP="004F7903">
      <w:pPr>
        <w:pStyle w:val="ConsPlusNormal"/>
        <w:ind w:firstLine="540"/>
        <w:jc w:val="both"/>
        <w:rPr>
          <w:rFonts w:ascii="Times New Roman" w:hAnsi="Times New Roman" w:cs="Times New Roman"/>
        </w:rPr>
      </w:pPr>
    </w:p>
    <w:p w:rsidR="004F7903" w:rsidRPr="00F05DA1"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устанавливается.</w:t>
      </w:r>
      <w:r w:rsidRPr="00F05DA1">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lastRenderedPageBreak/>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Театры, цирки, кинотеатры, концертные залы, </w:t>
            </w:r>
            <w:r w:rsidRPr="005D0786">
              <w:rPr>
                <w:rFonts w:ascii="Times New Roman" w:hAnsi="Times New Roman" w:cs="Times New Roman"/>
                <w:sz w:val="24"/>
                <w:szCs w:val="24"/>
              </w:rPr>
              <w:lastRenderedPageBreak/>
              <w:t>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Торговые центры, универмаги, магазины с площадью торговых 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Предприятия общественного питания, торговли и коммунально-бытового обслуживания в </w:t>
            </w:r>
            <w:r w:rsidRPr="005D0786">
              <w:rPr>
                <w:rFonts w:ascii="Times New Roman" w:hAnsi="Times New Roman" w:cs="Times New Roman"/>
                <w:sz w:val="24"/>
                <w:szCs w:val="24"/>
              </w:rPr>
              <w:lastRenderedPageBreak/>
              <w:t>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w:t>
            </w:r>
            <w:r w:rsidRPr="006C3DDD">
              <w:rPr>
                <w:rFonts w:ascii="Times New Roman" w:hAnsi="Times New Roman" w:cs="Times New Roman"/>
                <w:sz w:val="24"/>
                <w:szCs w:val="24"/>
              </w:rPr>
              <w:lastRenderedPageBreak/>
              <w:t>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не более 10 мин. (время пешеходной доступности) </w:t>
            </w:r>
            <w:r w:rsidRPr="005D0786">
              <w:rPr>
                <w:rFonts w:ascii="Times New Roman" w:hAnsi="Times New Roman" w:cs="Times New Roman"/>
                <w:sz w:val="24"/>
                <w:szCs w:val="24"/>
              </w:rPr>
              <w:lastRenderedPageBreak/>
              <w:t>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средней жилищной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Примечания: 1. Нижний предел площади селитебной территории для </w:t>
            </w:r>
            <w:r w:rsidRPr="005D0786">
              <w:rPr>
                <w:rFonts w:ascii="Times New Roman" w:hAnsi="Times New Roman" w:cs="Times New Roman"/>
                <w:sz w:val="24"/>
                <w:szCs w:val="24"/>
              </w:rPr>
              <w:lastRenderedPageBreak/>
              <w:t>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На территории жилой застройки усадебными домами 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озелененной и благоустроенной территории микрорайона </w:t>
            </w:r>
            <w:r w:rsidRPr="005D0786">
              <w:rPr>
                <w:rFonts w:ascii="Times New Roman" w:hAnsi="Times New Roman" w:cs="Times New Roman"/>
                <w:sz w:val="24"/>
                <w:szCs w:val="24"/>
              </w:rPr>
              <w:lastRenderedPageBreak/>
              <w:t>(квартала)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 xml:space="preserve">Отделения и </w:t>
            </w:r>
            <w:r w:rsidRPr="00A86B64">
              <w:rPr>
                <w:rFonts w:ascii="Times New Roman" w:hAnsi="Times New Roman" w:cs="Times New Roman"/>
                <w:sz w:val="24"/>
                <w:szCs w:val="24"/>
              </w:rPr>
              <w:lastRenderedPageBreak/>
              <w:t>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lastRenderedPageBreak/>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Торговые предприятия (магазины, 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D44DF1" w:rsidRDefault="00D44DF1" w:rsidP="00D44DF1">
      <w:pPr>
        <w:pStyle w:val="ConsPlusNormal"/>
        <w:ind w:firstLine="540"/>
        <w:jc w:val="center"/>
        <w:rPr>
          <w:rFonts w:ascii="Times New Roman" w:hAnsi="Times New Roman" w:cs="Times New Roman"/>
          <w:b/>
          <w:i/>
          <w:sz w:val="24"/>
          <w:szCs w:val="24"/>
        </w:rPr>
      </w:pPr>
    </w:p>
    <w:p w:rsidR="00D44DF1" w:rsidRPr="00805315" w:rsidRDefault="00D44DF1" w:rsidP="00D44DF1">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D44DF1" w:rsidRPr="00327E38" w:rsidRDefault="00D44DF1" w:rsidP="00D44DF1">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D44DF1" w:rsidRPr="00327E38" w:rsidRDefault="00D44DF1" w:rsidP="00D44DF1">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D44DF1" w:rsidRPr="00327E38" w:rsidTr="00E3575E">
        <w:tc>
          <w:tcPr>
            <w:tcW w:w="2189"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D44DF1" w:rsidRPr="00327E38" w:rsidTr="00E3575E">
        <w:tc>
          <w:tcPr>
            <w:tcW w:w="2189" w:type="dxa"/>
            <w:vMerge w:val="restart"/>
          </w:tcPr>
          <w:p w:rsidR="00D44DF1" w:rsidRPr="00327E38" w:rsidRDefault="00D44DF1"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D44DF1" w:rsidRPr="00327E38" w:rsidTr="00E3575E">
        <w:tc>
          <w:tcPr>
            <w:tcW w:w="2189" w:type="dxa"/>
            <w:vMerge/>
          </w:tcPr>
          <w:p w:rsidR="00D44DF1" w:rsidRPr="00327E38" w:rsidRDefault="00D44DF1"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D44DF1" w:rsidRPr="00327E38" w:rsidTr="00E3575E">
        <w:tc>
          <w:tcPr>
            <w:tcW w:w="2189" w:type="dxa"/>
            <w:vMerge w:val="restart"/>
          </w:tcPr>
          <w:p w:rsidR="00D44DF1" w:rsidRPr="00327E38" w:rsidRDefault="00D44DF1"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Служебные жилые помещения для </w:t>
            </w:r>
            <w:r w:rsidRPr="00327E38">
              <w:rPr>
                <w:rFonts w:ascii="Times New Roman" w:eastAsia="Times New Roman" w:hAnsi="Times New Roman" w:cs="Times New Roman"/>
                <w:i/>
                <w:sz w:val="24"/>
                <w:szCs w:val="24"/>
                <w:lang w:eastAsia="ru-RU"/>
              </w:rPr>
              <w:lastRenderedPageBreak/>
              <w:t>проживания участковых уполномоченных полиции</w:t>
            </w:r>
          </w:p>
        </w:tc>
        <w:tc>
          <w:tcPr>
            <w:tcW w:w="3338"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Уровень обеспеченности общей площади жилого </w:t>
            </w:r>
            <w:r w:rsidRPr="00327E38">
              <w:rPr>
                <w:rFonts w:ascii="Times New Roman" w:eastAsia="Times New Roman" w:hAnsi="Times New Roman" w:cs="Times New Roman"/>
                <w:i/>
                <w:sz w:val="24"/>
                <w:szCs w:val="24"/>
                <w:lang w:eastAsia="ru-RU"/>
              </w:rPr>
              <w:lastRenderedPageBreak/>
              <w:t>помещения на человека, кв. м</w:t>
            </w:r>
          </w:p>
        </w:tc>
        <w:tc>
          <w:tcPr>
            <w:tcW w:w="4033"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по согласованию с территориальными органами МВД </w:t>
            </w:r>
            <w:r w:rsidRPr="00327E38">
              <w:rPr>
                <w:rFonts w:ascii="Times New Roman" w:eastAsia="Times New Roman" w:hAnsi="Times New Roman" w:cs="Times New Roman"/>
                <w:i/>
                <w:sz w:val="24"/>
                <w:szCs w:val="24"/>
                <w:lang w:eastAsia="ru-RU"/>
              </w:rPr>
              <w:lastRenderedPageBreak/>
              <w:t>России</w:t>
            </w:r>
          </w:p>
        </w:tc>
      </w:tr>
      <w:tr w:rsidR="00D44DF1" w:rsidRPr="00327E38" w:rsidTr="00E3575E">
        <w:tc>
          <w:tcPr>
            <w:tcW w:w="2189" w:type="dxa"/>
            <w:vMerge/>
          </w:tcPr>
          <w:p w:rsidR="00D44DF1" w:rsidRPr="00327E38" w:rsidRDefault="00D44DF1"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D44DF1" w:rsidRPr="00327E38" w:rsidRDefault="00D44DF1"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D44DF1" w:rsidRPr="00805315" w:rsidRDefault="00D44DF1" w:rsidP="00D44DF1">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F65691" w:rsidRPr="00A718F9" w:rsidRDefault="00F65691" w:rsidP="00F65691">
      <w:pPr>
        <w:pStyle w:val="ConsPlusNormal"/>
        <w:ind w:firstLine="540"/>
        <w:jc w:val="both"/>
        <w:rPr>
          <w:rFonts w:ascii="Times New Roman" w:hAnsi="Times New Roman" w:cs="Times New Roman"/>
          <w:sz w:val="24"/>
          <w:szCs w:val="24"/>
        </w:rPr>
      </w:pPr>
      <w:r w:rsidRPr="00A718F9">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«Малодорское» Устьянского муниципального района, Вельским муниципальными районом и Вологодской областью. Поселение занимает территорию общей площадью 623,09  кв. км. Поселение находится в климатическом подрайоне </w:t>
      </w:r>
      <w:r w:rsidRPr="00F65691">
        <w:rPr>
          <w:rFonts w:ascii="Times New Roman" w:hAnsi="Times New Roman" w:cs="Times New Roman"/>
          <w:sz w:val="24"/>
          <w:szCs w:val="24"/>
        </w:rPr>
        <w:t>1Г,</w:t>
      </w:r>
      <w:r w:rsidRPr="00A718F9">
        <w:rPr>
          <w:rFonts w:ascii="Times New Roman" w:hAnsi="Times New Roman" w:cs="Times New Roman"/>
          <w:sz w:val="24"/>
          <w:szCs w:val="24"/>
        </w:rPr>
        <w:t xml:space="preserve"> по его территории проходит дорога регионального значения «Костылево – </w:t>
      </w:r>
      <w:proofErr w:type="spellStart"/>
      <w:r w:rsidRPr="00A718F9">
        <w:rPr>
          <w:rFonts w:ascii="Times New Roman" w:hAnsi="Times New Roman" w:cs="Times New Roman"/>
          <w:sz w:val="24"/>
          <w:szCs w:val="24"/>
        </w:rPr>
        <w:t>Тарногский</w:t>
      </w:r>
      <w:proofErr w:type="spellEnd"/>
      <w:r w:rsidRPr="00A718F9">
        <w:rPr>
          <w:rFonts w:ascii="Times New Roman" w:hAnsi="Times New Roman" w:cs="Times New Roman"/>
          <w:sz w:val="24"/>
          <w:szCs w:val="24"/>
        </w:rPr>
        <w:t xml:space="preserve"> Городок». Общая протяженность автомобильных дорог составляет 105,8 км. </w:t>
      </w:r>
    </w:p>
    <w:p w:rsidR="00F65691" w:rsidRPr="00A718F9" w:rsidRDefault="00F65691" w:rsidP="00F65691">
      <w:pPr>
        <w:pStyle w:val="ConsPlusNormal"/>
        <w:ind w:firstLine="540"/>
        <w:jc w:val="both"/>
        <w:rPr>
          <w:rFonts w:ascii="Times New Roman" w:hAnsi="Times New Roman" w:cs="Times New Roman"/>
          <w:sz w:val="24"/>
          <w:szCs w:val="24"/>
        </w:rPr>
      </w:pPr>
      <w:proofErr w:type="gramStart"/>
      <w:r w:rsidRPr="00A718F9">
        <w:rPr>
          <w:rFonts w:ascii="Times New Roman" w:hAnsi="Times New Roman" w:cs="Times New Roman"/>
          <w:sz w:val="24"/>
          <w:szCs w:val="24"/>
        </w:rPr>
        <w:t xml:space="preserve">В состав поселения входят следующие населенные пункты – деревни </w:t>
      </w:r>
      <w:proofErr w:type="spellStart"/>
      <w:r w:rsidRPr="00A718F9">
        <w:rPr>
          <w:rFonts w:ascii="Times New Roman" w:hAnsi="Times New Roman" w:cs="Times New Roman"/>
          <w:sz w:val="24"/>
          <w:szCs w:val="24"/>
        </w:rPr>
        <w:t>Автономовская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Алекино</w:t>
      </w:r>
      <w:proofErr w:type="spellEnd"/>
      <w:r w:rsidRPr="00A718F9">
        <w:rPr>
          <w:rFonts w:ascii="Times New Roman" w:hAnsi="Times New Roman" w:cs="Times New Roman"/>
          <w:sz w:val="24"/>
          <w:szCs w:val="24"/>
        </w:rPr>
        <w:t xml:space="preserve">, Алексеевская, </w:t>
      </w:r>
      <w:proofErr w:type="spellStart"/>
      <w:r w:rsidRPr="00A718F9">
        <w:rPr>
          <w:rFonts w:ascii="Times New Roman" w:hAnsi="Times New Roman" w:cs="Times New Roman"/>
          <w:sz w:val="24"/>
          <w:szCs w:val="24"/>
        </w:rPr>
        <w:t>Алешковская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Антипинская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Арефинская</w:t>
      </w:r>
      <w:proofErr w:type="spellEnd"/>
      <w:r w:rsidRPr="00A718F9">
        <w:rPr>
          <w:rFonts w:ascii="Times New Roman" w:hAnsi="Times New Roman" w:cs="Times New Roman"/>
          <w:sz w:val="24"/>
          <w:szCs w:val="24"/>
        </w:rPr>
        <w:t xml:space="preserve">, Березник, Бережная, </w:t>
      </w:r>
      <w:proofErr w:type="spellStart"/>
      <w:r w:rsidRPr="00A718F9">
        <w:rPr>
          <w:rFonts w:ascii="Times New Roman" w:hAnsi="Times New Roman" w:cs="Times New Roman"/>
          <w:sz w:val="24"/>
          <w:szCs w:val="24"/>
        </w:rPr>
        <w:t>Богачевская</w:t>
      </w:r>
      <w:proofErr w:type="spellEnd"/>
      <w:r w:rsidRPr="00A718F9">
        <w:rPr>
          <w:rFonts w:ascii="Times New Roman" w:hAnsi="Times New Roman" w:cs="Times New Roman"/>
          <w:sz w:val="24"/>
          <w:szCs w:val="24"/>
        </w:rPr>
        <w:t xml:space="preserve">, Большая </w:t>
      </w:r>
      <w:proofErr w:type="spellStart"/>
      <w:r w:rsidRPr="00A718F9">
        <w:rPr>
          <w:rFonts w:ascii="Times New Roman" w:hAnsi="Times New Roman" w:cs="Times New Roman"/>
          <w:sz w:val="24"/>
          <w:szCs w:val="24"/>
        </w:rPr>
        <w:t>Медвежевская</w:t>
      </w:r>
      <w:proofErr w:type="spellEnd"/>
      <w:r w:rsidRPr="00A718F9">
        <w:rPr>
          <w:rFonts w:ascii="Times New Roman" w:hAnsi="Times New Roman" w:cs="Times New Roman"/>
          <w:sz w:val="24"/>
          <w:szCs w:val="24"/>
        </w:rPr>
        <w:t xml:space="preserve">, Васильевская, </w:t>
      </w:r>
      <w:proofErr w:type="spellStart"/>
      <w:r w:rsidRPr="00A718F9">
        <w:rPr>
          <w:rFonts w:ascii="Times New Roman" w:hAnsi="Times New Roman" w:cs="Times New Roman"/>
          <w:sz w:val="24"/>
          <w:szCs w:val="24"/>
        </w:rPr>
        <w:t>Веригинская</w:t>
      </w:r>
      <w:proofErr w:type="spellEnd"/>
      <w:r w:rsidRPr="00A718F9">
        <w:rPr>
          <w:rFonts w:ascii="Times New Roman" w:hAnsi="Times New Roman" w:cs="Times New Roman"/>
          <w:sz w:val="24"/>
          <w:szCs w:val="24"/>
        </w:rPr>
        <w:t xml:space="preserve">, Выставка, Дубровская, Дудинская, </w:t>
      </w:r>
      <w:proofErr w:type="spellStart"/>
      <w:r w:rsidRPr="00A718F9">
        <w:rPr>
          <w:rFonts w:ascii="Times New Roman" w:hAnsi="Times New Roman" w:cs="Times New Roman"/>
          <w:sz w:val="24"/>
          <w:szCs w:val="24"/>
        </w:rPr>
        <w:t>Евсютинская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Ершевская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Заручевская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Захаровская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Захаровская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Заячевская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Заячерицкий</w:t>
      </w:r>
      <w:proofErr w:type="spellEnd"/>
      <w:r w:rsidRPr="00A718F9">
        <w:rPr>
          <w:rFonts w:ascii="Times New Roman" w:hAnsi="Times New Roman" w:cs="Times New Roman"/>
          <w:sz w:val="24"/>
          <w:szCs w:val="24"/>
        </w:rPr>
        <w:t xml:space="preserve"> Погост, </w:t>
      </w:r>
      <w:proofErr w:type="spellStart"/>
      <w:r w:rsidRPr="00A718F9">
        <w:rPr>
          <w:rFonts w:ascii="Times New Roman" w:hAnsi="Times New Roman" w:cs="Times New Roman"/>
          <w:sz w:val="24"/>
          <w:szCs w:val="24"/>
        </w:rPr>
        <w:t>Зубаревская</w:t>
      </w:r>
      <w:proofErr w:type="spellEnd"/>
      <w:r w:rsidRPr="00A718F9">
        <w:rPr>
          <w:rFonts w:ascii="Times New Roman" w:hAnsi="Times New Roman" w:cs="Times New Roman"/>
          <w:sz w:val="24"/>
          <w:szCs w:val="24"/>
        </w:rPr>
        <w:t xml:space="preserve">, Исаковская, Исаковская, </w:t>
      </w:r>
      <w:proofErr w:type="spellStart"/>
      <w:r w:rsidRPr="00A718F9">
        <w:rPr>
          <w:rFonts w:ascii="Times New Roman" w:hAnsi="Times New Roman" w:cs="Times New Roman"/>
          <w:sz w:val="24"/>
          <w:szCs w:val="24"/>
        </w:rPr>
        <w:t>Климовская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Крыловская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Конятинская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Кузьминская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Ларютинская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Левинская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Лукияновская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Ляпуновская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Максимовская</w:t>
      </w:r>
      <w:proofErr w:type="spellEnd"/>
      <w:r w:rsidRPr="00A718F9">
        <w:rPr>
          <w:rFonts w:ascii="Times New Roman" w:hAnsi="Times New Roman" w:cs="Times New Roman"/>
          <w:sz w:val="24"/>
          <w:szCs w:val="24"/>
        </w:rPr>
        <w:t xml:space="preserve">, Малая, </w:t>
      </w:r>
      <w:proofErr w:type="spellStart"/>
      <w:r w:rsidRPr="00A718F9">
        <w:rPr>
          <w:rFonts w:ascii="Times New Roman" w:hAnsi="Times New Roman" w:cs="Times New Roman"/>
          <w:sz w:val="24"/>
          <w:szCs w:val="24"/>
        </w:rPr>
        <w:t>Маломедвежевская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Матвеевская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Мозоловская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Моисеевская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Мотоусовская</w:t>
      </w:r>
      <w:proofErr w:type="spellEnd"/>
      <w:r w:rsidRPr="00A718F9">
        <w:rPr>
          <w:rFonts w:ascii="Times New Roman" w:hAnsi="Times New Roman" w:cs="Times New Roman"/>
          <w:sz w:val="24"/>
          <w:szCs w:val="24"/>
        </w:rPr>
        <w:t xml:space="preserve">, Нагорская, </w:t>
      </w:r>
      <w:proofErr w:type="spellStart"/>
      <w:r w:rsidRPr="00A718F9">
        <w:rPr>
          <w:rFonts w:ascii="Times New Roman" w:hAnsi="Times New Roman" w:cs="Times New Roman"/>
          <w:sz w:val="24"/>
          <w:szCs w:val="24"/>
        </w:rPr>
        <w:t>Обонеговская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Орюковская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Патрушевская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Пашутинская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Переслигинская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Петраково</w:t>
      </w:r>
      <w:proofErr w:type="spellEnd"/>
      <w:r w:rsidRPr="00A718F9">
        <w:rPr>
          <w:rFonts w:ascii="Times New Roman" w:hAnsi="Times New Roman" w:cs="Times New Roman"/>
          <w:sz w:val="24"/>
          <w:szCs w:val="24"/>
        </w:rPr>
        <w:t xml:space="preserve">, Погорельская, Подгорная, </w:t>
      </w:r>
      <w:proofErr w:type="spellStart"/>
      <w:r w:rsidRPr="00A718F9">
        <w:rPr>
          <w:rFonts w:ascii="Times New Roman" w:hAnsi="Times New Roman" w:cs="Times New Roman"/>
          <w:sz w:val="24"/>
          <w:szCs w:val="24"/>
        </w:rPr>
        <w:t>Пошиваевская</w:t>
      </w:r>
      <w:proofErr w:type="spellEnd"/>
      <w:proofErr w:type="gramEnd"/>
      <w:r w:rsidRPr="00A718F9">
        <w:rPr>
          <w:rFonts w:ascii="Times New Roman" w:hAnsi="Times New Roman" w:cs="Times New Roman"/>
          <w:sz w:val="24"/>
          <w:szCs w:val="24"/>
        </w:rPr>
        <w:t xml:space="preserve">, </w:t>
      </w:r>
      <w:proofErr w:type="gramStart"/>
      <w:r w:rsidRPr="00A718F9">
        <w:rPr>
          <w:rFonts w:ascii="Times New Roman" w:hAnsi="Times New Roman" w:cs="Times New Roman"/>
          <w:sz w:val="24"/>
          <w:szCs w:val="24"/>
        </w:rPr>
        <w:t>Романовская</w:t>
      </w:r>
      <w:proofErr w:type="gram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Рубчевская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Сарбала</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Семушинская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Скочевская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Сокиринская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Становская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Стешевская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Тереховская</w:t>
      </w:r>
      <w:proofErr w:type="spellEnd"/>
      <w:r w:rsidRPr="00A718F9">
        <w:rPr>
          <w:rFonts w:ascii="Times New Roman" w:hAnsi="Times New Roman" w:cs="Times New Roman"/>
          <w:sz w:val="24"/>
          <w:szCs w:val="24"/>
        </w:rPr>
        <w:t xml:space="preserve">, Толстиковская, </w:t>
      </w:r>
      <w:proofErr w:type="spellStart"/>
      <w:r w:rsidRPr="00A718F9">
        <w:rPr>
          <w:rFonts w:ascii="Times New Roman" w:hAnsi="Times New Roman" w:cs="Times New Roman"/>
          <w:sz w:val="24"/>
          <w:szCs w:val="24"/>
        </w:rPr>
        <w:t>Угольская</w:t>
      </w:r>
      <w:proofErr w:type="spellEnd"/>
      <w:r w:rsidRPr="00A718F9">
        <w:rPr>
          <w:rFonts w:ascii="Times New Roman" w:hAnsi="Times New Roman" w:cs="Times New Roman"/>
          <w:sz w:val="24"/>
          <w:szCs w:val="24"/>
        </w:rPr>
        <w:t xml:space="preserve">, Ульяновская, </w:t>
      </w:r>
      <w:proofErr w:type="spellStart"/>
      <w:r w:rsidRPr="00A718F9">
        <w:rPr>
          <w:rFonts w:ascii="Times New Roman" w:hAnsi="Times New Roman" w:cs="Times New Roman"/>
          <w:sz w:val="24"/>
          <w:szCs w:val="24"/>
        </w:rPr>
        <w:t>Усачевская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Филинская</w:t>
      </w:r>
      <w:proofErr w:type="spellEnd"/>
      <w:r w:rsidRPr="00A718F9">
        <w:rPr>
          <w:rFonts w:ascii="Times New Roman" w:hAnsi="Times New Roman" w:cs="Times New Roman"/>
          <w:sz w:val="24"/>
          <w:szCs w:val="24"/>
        </w:rPr>
        <w:t xml:space="preserve">, </w:t>
      </w:r>
      <w:proofErr w:type="spellStart"/>
      <w:r w:rsidRPr="00A718F9">
        <w:rPr>
          <w:rFonts w:ascii="Times New Roman" w:hAnsi="Times New Roman" w:cs="Times New Roman"/>
          <w:sz w:val="24"/>
          <w:szCs w:val="24"/>
        </w:rPr>
        <w:t>Хариловская</w:t>
      </w:r>
      <w:proofErr w:type="spellEnd"/>
      <w:r w:rsidRPr="00A718F9">
        <w:rPr>
          <w:rFonts w:ascii="Times New Roman" w:hAnsi="Times New Roman" w:cs="Times New Roman"/>
          <w:sz w:val="24"/>
          <w:szCs w:val="24"/>
        </w:rPr>
        <w:t xml:space="preserve">, Царевская, </w:t>
      </w:r>
      <w:proofErr w:type="spellStart"/>
      <w:r w:rsidRPr="00A718F9">
        <w:rPr>
          <w:rFonts w:ascii="Times New Roman" w:hAnsi="Times New Roman" w:cs="Times New Roman"/>
          <w:sz w:val="24"/>
          <w:szCs w:val="24"/>
        </w:rPr>
        <w:t>Шоломовская</w:t>
      </w:r>
      <w:proofErr w:type="spellEnd"/>
      <w:r w:rsidRPr="00A718F9">
        <w:rPr>
          <w:rFonts w:ascii="Times New Roman" w:hAnsi="Times New Roman" w:cs="Times New Roman"/>
          <w:sz w:val="24"/>
          <w:szCs w:val="24"/>
        </w:rPr>
        <w:t xml:space="preserve"> и выселок Горский.</w:t>
      </w:r>
    </w:p>
    <w:p w:rsidR="00F65691" w:rsidRPr="00A718F9" w:rsidRDefault="00F65691" w:rsidP="00F65691">
      <w:pPr>
        <w:pStyle w:val="ConsPlusNormal"/>
        <w:ind w:firstLine="540"/>
        <w:jc w:val="both"/>
        <w:rPr>
          <w:rFonts w:ascii="Times New Roman" w:hAnsi="Times New Roman" w:cs="Times New Roman"/>
          <w:sz w:val="24"/>
          <w:szCs w:val="24"/>
        </w:rPr>
      </w:pPr>
      <w:r w:rsidRPr="00A718F9">
        <w:rPr>
          <w:rFonts w:ascii="Times New Roman" w:hAnsi="Times New Roman" w:cs="Times New Roman"/>
          <w:sz w:val="24"/>
          <w:szCs w:val="24"/>
        </w:rPr>
        <w:t>Численность постоянного населения по состоянию на 01.01.2017г. составляет 1598 человек. Из общего количества населения трудоспособное население составляет 0,839 тыс. человек (или 52,50 %), население младше трудоспособного возраста – 0,332 тыс. человек (или 20,78 %), население старше трудоспособного возраста – 0,427 тыс. человек (или 26,72 %).</w:t>
      </w:r>
    </w:p>
    <w:p w:rsidR="00F65691" w:rsidRPr="005D0786" w:rsidRDefault="00F65691" w:rsidP="00F65691">
      <w:pPr>
        <w:pStyle w:val="ConsPlusNormal"/>
        <w:ind w:firstLine="540"/>
        <w:jc w:val="both"/>
        <w:rPr>
          <w:rFonts w:ascii="Times New Roman" w:hAnsi="Times New Roman" w:cs="Times New Roman"/>
          <w:sz w:val="24"/>
          <w:szCs w:val="24"/>
        </w:rPr>
      </w:pPr>
      <w:r w:rsidRPr="00A718F9">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A718F9">
        <w:rPr>
          <w:rFonts w:ascii="Times New Roman" w:hAnsi="Times New Roman" w:cs="Times New Roman"/>
          <w:sz w:val="24"/>
          <w:szCs w:val="24"/>
        </w:rPr>
        <w:t xml:space="preserve"> «Ростовско-Минское</w:t>
      </w:r>
      <w:r>
        <w:rPr>
          <w:rFonts w:ascii="Times New Roman" w:hAnsi="Times New Roman" w:cs="Times New Roman"/>
          <w:sz w:val="24"/>
          <w:szCs w:val="24"/>
        </w:rPr>
        <w:t xml:space="preserve">» </w:t>
      </w:r>
      <w:r w:rsidRPr="00A718F9">
        <w:rPr>
          <w:rFonts w:ascii="Times New Roman" w:hAnsi="Times New Roman" w:cs="Times New Roman"/>
          <w:sz w:val="24"/>
          <w:szCs w:val="24"/>
        </w:rPr>
        <w:t>по состоянию на 01.01.2017г. составляет 2,56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w:t>
      </w:r>
      <w:r w:rsidRPr="005D0786">
        <w:rPr>
          <w:rFonts w:ascii="Times New Roman" w:hAnsi="Times New Roman" w:cs="Times New Roman"/>
          <w:sz w:val="24"/>
          <w:szCs w:val="24"/>
        </w:rPr>
        <w:lastRenderedPageBreak/>
        <w:t xml:space="preserve">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F65691">
        <w:rPr>
          <w:rFonts w:ascii="Times New Roman" w:hAnsi="Times New Roman" w:cs="Times New Roman"/>
          <w:sz w:val="24"/>
          <w:szCs w:val="24"/>
        </w:rPr>
        <w:t>Ростовско-Минское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F65691">
        <w:rPr>
          <w:rFonts w:ascii="Times New Roman" w:hAnsi="Times New Roman" w:cs="Times New Roman"/>
          <w:sz w:val="24"/>
          <w:szCs w:val="24"/>
        </w:rPr>
        <w:t>Ростовско-Минское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площадь земельного участка для сливной станции - 0,02 га на 1000 т бытовых </w:t>
      </w:r>
      <w:r w:rsidRPr="005D0786">
        <w:rPr>
          <w:rFonts w:ascii="Times New Roman" w:hAnsi="Times New Roman" w:cs="Times New Roman"/>
          <w:sz w:val="24"/>
          <w:szCs w:val="24"/>
        </w:rPr>
        <w:lastRenderedPageBreak/>
        <w:t>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1. 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Pr>
          <w:rFonts w:ascii="Times New Roman" w:hAnsi="Times New Roman" w:cs="Times New Roman"/>
          <w:sz w:val="24"/>
          <w:szCs w:val="24"/>
        </w:rPr>
        <w:t>муниципального образования «</w:t>
      </w:r>
      <w:r w:rsidR="00F65691">
        <w:rPr>
          <w:rFonts w:ascii="Times New Roman" w:hAnsi="Times New Roman" w:cs="Times New Roman"/>
          <w:sz w:val="24"/>
          <w:szCs w:val="24"/>
        </w:rPr>
        <w:t>Ростовско-Минское</w:t>
      </w:r>
      <w:r>
        <w:rPr>
          <w:rFonts w:ascii="Times New Roman" w:hAnsi="Times New Roman" w:cs="Times New Roman"/>
          <w:sz w:val="24"/>
          <w:szCs w:val="24"/>
        </w:rPr>
        <w:t xml:space="preserve">» </w:t>
      </w:r>
      <w:r w:rsidRPr="00F05DA1">
        <w:rPr>
          <w:rFonts w:ascii="Times New Roman" w:hAnsi="Times New Roman" w:cs="Times New Roman"/>
          <w:sz w:val="24"/>
          <w:szCs w:val="24"/>
        </w:rPr>
        <w:t xml:space="preserve">установлен уровень обеспеченности централизованной системой газоснабжения вне зон действия источников централизованного теплоснабжения – </w:t>
      </w:r>
      <w:r>
        <w:rPr>
          <w:rFonts w:ascii="Times New Roman" w:hAnsi="Times New Roman" w:cs="Times New Roman"/>
          <w:sz w:val="24"/>
          <w:szCs w:val="24"/>
        </w:rPr>
        <w:t xml:space="preserve">100 </w:t>
      </w:r>
      <w:r w:rsidRPr="00F05DA1">
        <w:rPr>
          <w:rFonts w:ascii="Times New Roman" w:hAnsi="Times New Roman" w:cs="Times New Roman"/>
          <w:sz w:val="24"/>
          <w:szCs w:val="24"/>
        </w:rPr>
        <w:t>%.</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 xml:space="preserve">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w:t>
      </w:r>
      <w:r w:rsidRPr="00F05DA1">
        <w:rPr>
          <w:rFonts w:ascii="Times New Roman" w:hAnsi="Times New Roman" w:cs="Times New Roman"/>
          <w:sz w:val="24"/>
          <w:szCs w:val="24"/>
        </w:rPr>
        <w:lastRenderedPageBreak/>
        <w:t>экономической целесообразности.</w:t>
      </w:r>
    </w:p>
    <w:p w:rsidR="005B2EB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F65691">
        <w:rPr>
          <w:rFonts w:ascii="Times New Roman" w:hAnsi="Times New Roman" w:cs="Times New Roman"/>
          <w:sz w:val="24"/>
          <w:szCs w:val="24"/>
        </w:rPr>
        <w:t>Ростовско-Минское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F65691">
        <w:rPr>
          <w:rFonts w:ascii="Times New Roman" w:hAnsi="Times New Roman" w:cs="Times New Roman"/>
          <w:sz w:val="24"/>
          <w:szCs w:val="24"/>
        </w:rPr>
        <w:t>Ростовско-Минское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w:t>
      </w:r>
      <w:r w:rsidRPr="005D0786">
        <w:rPr>
          <w:rFonts w:ascii="Times New Roman" w:hAnsi="Times New Roman" w:cs="Times New Roman"/>
          <w:sz w:val="24"/>
          <w:szCs w:val="24"/>
        </w:rPr>
        <w:lastRenderedPageBreak/>
        <w:t>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 xml:space="preserve">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w:t>
      </w:r>
      <w:r w:rsidR="0034492B" w:rsidRPr="005D0786">
        <w:rPr>
          <w:rFonts w:ascii="Times New Roman" w:hAnsi="Times New Roman" w:cs="Times New Roman"/>
          <w:sz w:val="24"/>
          <w:szCs w:val="24"/>
        </w:rPr>
        <w:lastRenderedPageBreak/>
        <w:t>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F65691">
        <w:rPr>
          <w:rFonts w:ascii="Times New Roman" w:hAnsi="Times New Roman" w:cs="Times New Roman"/>
          <w:sz w:val="24"/>
          <w:szCs w:val="24"/>
        </w:rPr>
        <w:t>Ростовско-Минское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F65691">
        <w:rPr>
          <w:rFonts w:ascii="Times New Roman" w:hAnsi="Times New Roman" w:cs="Times New Roman"/>
          <w:sz w:val="24"/>
          <w:szCs w:val="24"/>
        </w:rPr>
        <w:t>Ростовско-Минское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w:t>
      </w:r>
      <w:r w:rsidRPr="005D0786">
        <w:rPr>
          <w:rFonts w:ascii="Times New Roman" w:hAnsi="Times New Roman" w:cs="Times New Roman"/>
          <w:sz w:val="24"/>
          <w:szCs w:val="24"/>
        </w:rPr>
        <w:lastRenderedPageBreak/>
        <w:t>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Pr="005D0786" w:rsidRDefault="0034492B" w:rsidP="000747A2">
      <w:pPr>
        <w:pStyle w:val="ConsPlusNormal"/>
        <w:ind w:firstLine="540"/>
        <w:jc w:val="both"/>
        <w:rPr>
          <w:rFonts w:ascii="Times New Roman" w:hAnsi="Times New Roman" w:cs="Times New Roman"/>
          <w:sz w:val="24"/>
          <w:szCs w:val="24"/>
        </w:rPr>
      </w:pPr>
    </w:p>
    <w:p w:rsidR="00D44DF1" w:rsidRPr="00805315" w:rsidRDefault="00D44DF1" w:rsidP="00D44DF1">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D44DF1" w:rsidRPr="00805315" w:rsidRDefault="00D44DF1" w:rsidP="00D44DF1">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D44DF1" w:rsidRDefault="00D44DF1" w:rsidP="000747A2">
      <w:pPr>
        <w:pStyle w:val="ConsPlusNormal"/>
        <w:jc w:val="center"/>
        <w:outlineLvl w:val="3"/>
        <w:rPr>
          <w:rFonts w:ascii="Times New Roman" w:hAnsi="Times New Roman" w:cs="Times New Roman"/>
          <w:sz w:val="24"/>
          <w:szCs w:val="24"/>
        </w:rPr>
      </w:pPr>
    </w:p>
    <w:p w:rsidR="00D44DF1" w:rsidRDefault="00D44DF1" w:rsidP="000747A2">
      <w:pPr>
        <w:pStyle w:val="ConsPlusNormal"/>
        <w:jc w:val="center"/>
        <w:outlineLvl w:val="3"/>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 поселениях, расположенных в окружении лесов, в прибрежных зонах крупных рек и водоемов площадь озелененных территорий общего пользования допускается </w:t>
      </w:r>
      <w:r w:rsidRPr="005D0786">
        <w:rPr>
          <w:rFonts w:ascii="Times New Roman" w:hAnsi="Times New Roman" w:cs="Times New Roman"/>
          <w:sz w:val="24"/>
          <w:szCs w:val="24"/>
        </w:rPr>
        <w:lastRenderedPageBreak/>
        <w:t>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w:t>
      </w:r>
      <w:r w:rsidRPr="005D0786">
        <w:rPr>
          <w:rFonts w:ascii="Times New Roman" w:hAnsi="Times New Roman" w:cs="Times New Roman"/>
          <w:sz w:val="24"/>
          <w:szCs w:val="24"/>
        </w:rPr>
        <w:lastRenderedPageBreak/>
        <w:t>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w:t>
      </w:r>
      <w:r w:rsidRPr="005D0786">
        <w:rPr>
          <w:rFonts w:ascii="Times New Roman" w:hAnsi="Times New Roman" w:cs="Times New Roman"/>
          <w:sz w:val="24"/>
          <w:szCs w:val="24"/>
        </w:rPr>
        <w:lastRenderedPageBreak/>
        <w:t xml:space="preserve">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F65691">
        <w:rPr>
          <w:rFonts w:ascii="Times New Roman" w:hAnsi="Times New Roman" w:cs="Times New Roman"/>
          <w:sz w:val="24"/>
          <w:szCs w:val="24"/>
        </w:rPr>
        <w:t>Ростовско-Минское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F65691">
        <w:rPr>
          <w:rFonts w:ascii="Times New Roman" w:hAnsi="Times New Roman" w:cs="Times New Roman"/>
          <w:sz w:val="24"/>
          <w:szCs w:val="24"/>
        </w:rPr>
        <w:t>Ростовско-Минское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6416AA"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6416AA"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6416AA"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6416AA"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6416AA"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6416AA"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6416AA"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6416AA"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6416AA"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6416AA"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6416AA"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6416AA"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6416AA"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6416AA"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6416AA"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6416AA"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6416AA"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6416AA"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6416AA"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6416AA"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6416AA"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6416AA"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6416AA"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6416AA"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6416AA"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6416AA"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6416AA"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6416AA"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6416AA"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6416AA"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6416AA"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F65691">
        <w:rPr>
          <w:rFonts w:ascii="Times New Roman" w:hAnsi="Times New Roman" w:cs="Times New Roman"/>
          <w:sz w:val="24"/>
          <w:szCs w:val="24"/>
        </w:rPr>
        <w:t>Ростовско-Минское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F65691" w:rsidRPr="005D0786" w:rsidRDefault="006416AA" w:rsidP="00F65691">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F65691" w:rsidRPr="00F75771">
          <w:rPr>
            <w:rFonts w:ascii="Times New Roman" w:hAnsi="Times New Roman" w:cs="Times New Roman"/>
            <w:sz w:val="24"/>
            <w:szCs w:val="24"/>
          </w:rPr>
          <w:t>Устав</w:t>
        </w:r>
      </w:hyperlink>
      <w:r w:rsidR="00F65691" w:rsidRPr="00F75771">
        <w:rPr>
          <w:rFonts w:ascii="Times New Roman" w:hAnsi="Times New Roman" w:cs="Times New Roman"/>
          <w:sz w:val="24"/>
          <w:szCs w:val="24"/>
        </w:rPr>
        <w:t xml:space="preserve"> </w:t>
      </w:r>
      <w:r w:rsidR="00F65691">
        <w:rPr>
          <w:rFonts w:ascii="Times New Roman" w:hAnsi="Times New Roman" w:cs="Times New Roman"/>
          <w:sz w:val="24"/>
          <w:szCs w:val="24"/>
        </w:rPr>
        <w:t>муниципального образования «Ростовско-Минское»</w:t>
      </w:r>
      <w:r w:rsidR="00F65691" w:rsidRPr="00F75771">
        <w:rPr>
          <w:rFonts w:ascii="Times New Roman" w:hAnsi="Times New Roman" w:cs="Times New Roman"/>
          <w:sz w:val="24"/>
          <w:szCs w:val="24"/>
        </w:rPr>
        <w:t>, принятый решением Совета депутатов муниципального образования «</w:t>
      </w:r>
      <w:r w:rsidR="00F65691">
        <w:rPr>
          <w:rFonts w:ascii="Times New Roman" w:hAnsi="Times New Roman" w:cs="Times New Roman"/>
          <w:sz w:val="24"/>
          <w:szCs w:val="24"/>
        </w:rPr>
        <w:t>Ростовско-Минское</w:t>
      </w:r>
      <w:r w:rsidR="00F65691" w:rsidRPr="00F75771">
        <w:rPr>
          <w:rFonts w:ascii="Times New Roman" w:hAnsi="Times New Roman" w:cs="Times New Roman"/>
          <w:sz w:val="24"/>
          <w:szCs w:val="24"/>
        </w:rPr>
        <w:t xml:space="preserve">» </w:t>
      </w:r>
      <w:r w:rsidR="00F65691" w:rsidRPr="00E37A2A">
        <w:rPr>
          <w:rFonts w:ascii="Times New Roman" w:hAnsi="Times New Roman" w:cs="Times New Roman"/>
          <w:sz w:val="24"/>
          <w:szCs w:val="24"/>
        </w:rPr>
        <w:t>от 03.06.2010 г. №82</w:t>
      </w:r>
      <w:r w:rsidR="00F65691" w:rsidRPr="00F75771">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6416AA"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6416AA"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6416AA"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769" w:rsidRDefault="00872769" w:rsidP="006C3DBF">
      <w:pPr>
        <w:spacing w:after="0" w:line="240" w:lineRule="auto"/>
      </w:pPr>
      <w:r>
        <w:separator/>
      </w:r>
    </w:p>
  </w:endnote>
  <w:endnote w:type="continuationSeparator" w:id="0">
    <w:p w:rsidR="00872769" w:rsidRDefault="00872769"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6416AA">
        <w:pPr>
          <w:pStyle w:val="a9"/>
          <w:jc w:val="center"/>
        </w:pPr>
        <w:fldSimple w:instr=" PAGE   \* MERGEFORMAT ">
          <w:r w:rsidR="00D44DF1">
            <w:rPr>
              <w:noProof/>
            </w:rPr>
            <w:t>20</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769" w:rsidRDefault="00872769" w:rsidP="006C3DBF">
      <w:pPr>
        <w:spacing w:after="0" w:line="240" w:lineRule="auto"/>
      </w:pPr>
      <w:r>
        <w:separator/>
      </w:r>
    </w:p>
  </w:footnote>
  <w:footnote w:type="continuationSeparator" w:id="0">
    <w:p w:rsidR="00872769" w:rsidRDefault="00872769"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43A82"/>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120750"/>
    <w:rsid w:val="00122C75"/>
    <w:rsid w:val="001255DE"/>
    <w:rsid w:val="001317B1"/>
    <w:rsid w:val="00131D31"/>
    <w:rsid w:val="00140C35"/>
    <w:rsid w:val="0014110E"/>
    <w:rsid w:val="00155513"/>
    <w:rsid w:val="00170B07"/>
    <w:rsid w:val="00176795"/>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8447E"/>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416AA"/>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26BA"/>
    <w:rsid w:val="007D31C8"/>
    <w:rsid w:val="007D4B46"/>
    <w:rsid w:val="007E28C1"/>
    <w:rsid w:val="007E311B"/>
    <w:rsid w:val="007E4E5B"/>
    <w:rsid w:val="007F5B5E"/>
    <w:rsid w:val="00806714"/>
    <w:rsid w:val="00815719"/>
    <w:rsid w:val="008272E7"/>
    <w:rsid w:val="00836A27"/>
    <w:rsid w:val="00861D38"/>
    <w:rsid w:val="00862DB8"/>
    <w:rsid w:val="00872769"/>
    <w:rsid w:val="00887EAE"/>
    <w:rsid w:val="00893775"/>
    <w:rsid w:val="008B14BC"/>
    <w:rsid w:val="008B52AE"/>
    <w:rsid w:val="008B533C"/>
    <w:rsid w:val="008C1AC0"/>
    <w:rsid w:val="008C7D9D"/>
    <w:rsid w:val="008D17AC"/>
    <w:rsid w:val="008E0496"/>
    <w:rsid w:val="008F4F7F"/>
    <w:rsid w:val="008F6684"/>
    <w:rsid w:val="008F787B"/>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A7506"/>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C49B9"/>
    <w:rsid w:val="00D00FF0"/>
    <w:rsid w:val="00D01032"/>
    <w:rsid w:val="00D1100A"/>
    <w:rsid w:val="00D22529"/>
    <w:rsid w:val="00D23078"/>
    <w:rsid w:val="00D44DF1"/>
    <w:rsid w:val="00D45254"/>
    <w:rsid w:val="00D50B53"/>
    <w:rsid w:val="00D50F4F"/>
    <w:rsid w:val="00D55662"/>
    <w:rsid w:val="00D57B05"/>
    <w:rsid w:val="00DA0C61"/>
    <w:rsid w:val="00DA415A"/>
    <w:rsid w:val="00DA4329"/>
    <w:rsid w:val="00DB2E65"/>
    <w:rsid w:val="00DC33AC"/>
    <w:rsid w:val="00DD26AE"/>
    <w:rsid w:val="00DD54D1"/>
    <w:rsid w:val="00DF1F65"/>
    <w:rsid w:val="00E005CE"/>
    <w:rsid w:val="00E00BE0"/>
    <w:rsid w:val="00E02F4B"/>
    <w:rsid w:val="00E415D3"/>
    <w:rsid w:val="00E47F70"/>
    <w:rsid w:val="00E54FB6"/>
    <w:rsid w:val="00E93EAA"/>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65691"/>
    <w:rsid w:val="00F7006B"/>
    <w:rsid w:val="00F70674"/>
    <w:rsid w:val="00F70F64"/>
    <w:rsid w:val="00F71A8C"/>
    <w:rsid w:val="00F75771"/>
    <w:rsid w:val="00F90FFA"/>
    <w:rsid w:val="00F92550"/>
    <w:rsid w:val="00F93848"/>
    <w:rsid w:val="00FA3B75"/>
    <w:rsid w:val="00FC5DD8"/>
    <w:rsid w:val="00FD5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3881-3462-4E12-B826-118E5B8B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14428</Words>
  <Characters>82242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2017-10-31T09:01:00Z</cp:lastPrinted>
  <dcterms:created xsi:type="dcterms:W3CDTF">2017-10-31T20:23:00Z</dcterms:created>
  <dcterms:modified xsi:type="dcterms:W3CDTF">2022-07-21T09:06:00Z</dcterms:modified>
</cp:coreProperties>
</file>