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92107F">
      <w:pPr>
        <w:ind w:left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>УСТЬЯНСКОГО МУНИЦИПАЛЬНОГО РАЙОНА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C86BDA" w:rsidRDefault="00C86BDA" w:rsidP="009E7ED6">
      <w:pPr>
        <w:pStyle w:val="2"/>
        <w:rPr>
          <w:iCs/>
          <w:sz w:val="28"/>
          <w:szCs w:val="28"/>
        </w:rPr>
      </w:pP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C86BDA" w:rsidRDefault="00C86BDA" w:rsidP="009E7ED6">
      <w:pPr>
        <w:ind w:left="567"/>
        <w:jc w:val="center"/>
        <w:rPr>
          <w:sz w:val="27"/>
          <w:szCs w:val="27"/>
        </w:rPr>
      </w:pPr>
    </w:p>
    <w:p w:rsidR="009E7ED6" w:rsidRDefault="00484C5B" w:rsidP="00C86BDA">
      <w:pPr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>
        <w:rPr>
          <w:sz w:val="28"/>
        </w:rPr>
        <w:t xml:space="preserve"> </w:t>
      </w:r>
      <w:r w:rsidR="00C86BDA">
        <w:rPr>
          <w:sz w:val="28"/>
        </w:rPr>
        <w:t>8</w:t>
      </w:r>
      <w:r w:rsidR="009E7ED6">
        <w:rPr>
          <w:sz w:val="28"/>
        </w:rPr>
        <w:t xml:space="preserve"> </w:t>
      </w:r>
      <w:r>
        <w:rPr>
          <w:sz w:val="28"/>
        </w:rPr>
        <w:t>ноября</w:t>
      </w:r>
      <w:r w:rsidR="0092107F">
        <w:rPr>
          <w:sz w:val="28"/>
        </w:rPr>
        <w:t xml:space="preserve"> 2022 года № </w:t>
      </w:r>
      <w:r w:rsidR="00C86BDA">
        <w:rPr>
          <w:sz w:val="28"/>
        </w:rPr>
        <w:t>2094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C86BDA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Pr="00C86BDA" w:rsidRDefault="009E7ED6" w:rsidP="00B832A8">
      <w:pPr>
        <w:pStyle w:val="a3"/>
        <w:spacing w:after="0"/>
        <w:jc w:val="center"/>
        <w:rPr>
          <w:b/>
          <w:szCs w:val="28"/>
        </w:rPr>
      </w:pPr>
      <w:r w:rsidRPr="00C86BDA">
        <w:rPr>
          <w:b/>
          <w:szCs w:val="28"/>
        </w:rPr>
        <w:t xml:space="preserve">О внесении изменений в муниципальную программу </w:t>
      </w:r>
    </w:p>
    <w:p w:rsidR="009E7ED6" w:rsidRDefault="009E7ED6" w:rsidP="0092107F">
      <w:pPr>
        <w:pStyle w:val="a3"/>
        <w:spacing w:after="0"/>
        <w:jc w:val="center"/>
        <w:rPr>
          <w:rStyle w:val="af2"/>
          <w:bCs/>
          <w:szCs w:val="28"/>
        </w:rPr>
      </w:pPr>
      <w:r w:rsidRPr="00C86BDA">
        <w:rPr>
          <w:rStyle w:val="af2"/>
          <w:bCs/>
          <w:sz w:val="28"/>
          <w:szCs w:val="28"/>
        </w:rPr>
        <w:t>«Развитие транспортной системы Устьянского района»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9E7ED6" w:rsidRPr="00FC25E9" w:rsidRDefault="009E7ED6" w:rsidP="007B30AD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color w:val="000000"/>
          <w:sz w:val="28"/>
          <w:szCs w:val="28"/>
        </w:rPr>
      </w:pPr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 w:rsidR="00D8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="00D82E2D" w:rsidRPr="00E8163A">
        <w:rPr>
          <w:sz w:val="28"/>
          <w:szCs w:val="28"/>
        </w:rPr>
        <w:t>постановлениями администрации Устьянского муниципального района Архангельской области от 2 марта 2022 года №</w:t>
      </w:r>
      <w:r w:rsidR="00D82E2D">
        <w:rPr>
          <w:sz w:val="28"/>
          <w:szCs w:val="28"/>
        </w:rPr>
        <w:t xml:space="preserve"> </w:t>
      </w:r>
      <w:r w:rsidR="00D82E2D" w:rsidRPr="00E8163A">
        <w:rPr>
          <w:sz w:val="28"/>
          <w:szCs w:val="28"/>
        </w:rPr>
        <w:t xml:space="preserve">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 w:rsidR="00D82E2D">
        <w:rPr>
          <w:sz w:val="28"/>
          <w:szCs w:val="28"/>
        </w:rPr>
        <w:t xml:space="preserve">№ 1878 </w:t>
      </w:r>
      <w:r w:rsidR="00D82E2D" w:rsidRPr="00E8163A">
        <w:rPr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Устьянского муниципального района Архангельской области</w:t>
      </w:r>
      <w:proofErr w:type="gramEnd"/>
    </w:p>
    <w:p w:rsidR="009E7ED6" w:rsidRPr="00FC25E9" w:rsidRDefault="009E7ED6" w:rsidP="007B30AD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7B30AD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Default="009E7ED6" w:rsidP="007B30AD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76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>«Развитие транспортной системы Устьянского района муниципального образования «Устьянский муниципальный район», утвержденную постановлением администрации муниципального образования «Устьянский муниципальный район» от 14 ноября 2019 года № 1460</w:t>
      </w:r>
      <w:r w:rsidR="00D82E2D">
        <w:rPr>
          <w:rStyle w:val="af2"/>
          <w:b w:val="0"/>
          <w:bCs/>
          <w:sz w:val="28"/>
        </w:rPr>
        <w:t xml:space="preserve">: </w:t>
      </w:r>
    </w:p>
    <w:p w:rsidR="00D82E2D" w:rsidRDefault="00D82E2D" w:rsidP="007B30AD">
      <w:pPr>
        <w:pStyle w:val="23"/>
        <w:numPr>
          <w:ilvl w:val="1"/>
          <w:numId w:val="15"/>
        </w:numPr>
        <w:tabs>
          <w:tab w:val="left" w:pos="567"/>
          <w:tab w:val="left" w:pos="851"/>
        </w:tabs>
        <w:spacing w:after="0" w:line="276" w:lineRule="auto"/>
        <w:ind w:left="0" w:firstLine="360"/>
        <w:jc w:val="both"/>
        <w:rPr>
          <w:rStyle w:val="af2"/>
          <w:b w:val="0"/>
          <w:sz w:val="28"/>
        </w:rPr>
      </w:pPr>
      <w:r>
        <w:rPr>
          <w:rStyle w:val="af2"/>
          <w:b w:val="0"/>
          <w:sz w:val="28"/>
        </w:rPr>
        <w:t>Наименование муниципальной программы изложить в следующей редакции «Развитие транспортной системы Устьянского муниципального округа».</w:t>
      </w:r>
    </w:p>
    <w:p w:rsidR="00D82E2D" w:rsidRPr="005332F9" w:rsidRDefault="00D82E2D" w:rsidP="007B30AD">
      <w:pPr>
        <w:pStyle w:val="23"/>
        <w:numPr>
          <w:ilvl w:val="1"/>
          <w:numId w:val="15"/>
        </w:numPr>
        <w:tabs>
          <w:tab w:val="left" w:pos="567"/>
          <w:tab w:val="left" w:pos="851"/>
        </w:tabs>
        <w:spacing w:after="0" w:line="276" w:lineRule="auto"/>
        <w:ind w:left="0" w:firstLine="360"/>
        <w:jc w:val="both"/>
        <w:rPr>
          <w:rStyle w:val="af2"/>
          <w:b w:val="0"/>
          <w:sz w:val="28"/>
        </w:rPr>
      </w:pPr>
      <w:r>
        <w:rPr>
          <w:rStyle w:val="af2"/>
          <w:b w:val="0"/>
          <w:sz w:val="28"/>
        </w:rPr>
        <w:t>Муниципальную программу изложить в редакции согласно приложению к настоящему постановлению.</w:t>
      </w:r>
    </w:p>
    <w:p w:rsidR="009E7ED6" w:rsidRPr="001B2E5E" w:rsidRDefault="009E7ED6" w:rsidP="007B30AD">
      <w:pPr>
        <w:numPr>
          <w:ilvl w:val="0"/>
          <w:numId w:val="15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 w:rsidR="00DE2A52"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 w:rsidR="00DE2A52">
        <w:rPr>
          <w:sz w:val="28"/>
          <w:szCs w:val="28"/>
        </w:rPr>
        <w:t>района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9E7ED6" w:rsidRPr="00FC25E9" w:rsidRDefault="009E7ED6" w:rsidP="007B30AD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76" w:lineRule="auto"/>
        <w:ind w:left="0" w:firstLine="426"/>
        <w:jc w:val="both"/>
        <w:rPr>
          <w:b/>
          <w:sz w:val="28"/>
        </w:rPr>
      </w:pPr>
      <w:r w:rsidRPr="00FC25E9">
        <w:rPr>
          <w:sz w:val="28"/>
        </w:rPr>
        <w:lastRenderedPageBreak/>
        <w:t xml:space="preserve">Настоящее постановление вступает в силу </w:t>
      </w:r>
      <w:r>
        <w:rPr>
          <w:sz w:val="28"/>
        </w:rPr>
        <w:t>с</w:t>
      </w:r>
      <w:r w:rsidR="00D82E2D">
        <w:rPr>
          <w:sz w:val="28"/>
        </w:rPr>
        <w:t xml:space="preserve">о дня его </w:t>
      </w:r>
      <w:r>
        <w:rPr>
          <w:sz w:val="28"/>
        </w:rPr>
        <w:t>подписания</w:t>
      </w:r>
      <w:r w:rsidR="00D82E2D">
        <w:rPr>
          <w:sz w:val="28"/>
        </w:rPr>
        <w:t xml:space="preserve"> и применяется с 1 января 2023 года</w:t>
      </w:r>
      <w:r>
        <w:rPr>
          <w:sz w:val="28"/>
        </w:rPr>
        <w:t>.</w:t>
      </w:r>
      <w:bookmarkStart w:id="0" w:name="_GoBack"/>
      <w:bookmarkEnd w:id="0"/>
    </w:p>
    <w:p w:rsidR="009E7ED6" w:rsidRDefault="009E7ED6" w:rsidP="009E7ED6">
      <w:pPr>
        <w:jc w:val="both"/>
        <w:rPr>
          <w:sz w:val="28"/>
          <w:szCs w:val="28"/>
        </w:rPr>
      </w:pPr>
    </w:p>
    <w:p w:rsidR="009E7ED6" w:rsidRPr="00FC25E9" w:rsidRDefault="009E7ED6" w:rsidP="009E7ED6">
      <w:pPr>
        <w:jc w:val="both"/>
        <w:rPr>
          <w:sz w:val="28"/>
          <w:szCs w:val="28"/>
        </w:rPr>
      </w:pPr>
    </w:p>
    <w:p w:rsidR="009E7ED6" w:rsidRDefault="009E7ED6" w:rsidP="009E7ED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района </w:t>
      </w:r>
      <w:r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</w:t>
      </w:r>
      <w:r w:rsidRPr="00FC25E9">
        <w:rPr>
          <w:bCs/>
          <w:szCs w:val="28"/>
        </w:rPr>
        <w:t>С.А. Котлов</w:t>
      </w:r>
    </w:p>
    <w:p w:rsidR="009E7ED6" w:rsidRDefault="009E7ED6" w:rsidP="009E7ED6">
      <w:pPr>
        <w:pStyle w:val="a3"/>
        <w:spacing w:after="0"/>
        <w:rPr>
          <w:bCs/>
          <w:szCs w:val="28"/>
        </w:rPr>
      </w:pPr>
    </w:p>
    <w:p w:rsidR="009E7ED6" w:rsidRDefault="009E7ED6" w:rsidP="009E7ED6">
      <w:pPr>
        <w:jc w:val="center"/>
        <w:rPr>
          <w:color w:val="000000"/>
        </w:rPr>
      </w:pPr>
    </w:p>
    <w:p w:rsidR="001B7F7A" w:rsidRDefault="001B7F7A" w:rsidP="00DC74C3">
      <w:pPr>
        <w:jc w:val="right"/>
      </w:pPr>
    </w:p>
    <w:p w:rsidR="0031461D" w:rsidRDefault="0031461D" w:rsidP="0092107F">
      <w:pPr>
        <w:jc w:val="right"/>
      </w:pPr>
    </w:p>
    <w:p w:rsidR="00551A50" w:rsidRDefault="00551A50" w:rsidP="00DC74C3">
      <w:pPr>
        <w:jc w:val="right"/>
      </w:pPr>
    </w:p>
    <w:p w:rsidR="00416A9E" w:rsidRDefault="00416A9E" w:rsidP="00DC74C3">
      <w:pPr>
        <w:jc w:val="right"/>
      </w:pPr>
    </w:p>
    <w:p w:rsidR="00416A9E" w:rsidRDefault="00416A9E" w:rsidP="00DC74C3">
      <w:pPr>
        <w:jc w:val="right"/>
      </w:pPr>
    </w:p>
    <w:p w:rsidR="00416A9E" w:rsidRDefault="00416A9E" w:rsidP="00DC74C3">
      <w:pPr>
        <w:jc w:val="right"/>
      </w:pPr>
    </w:p>
    <w:p w:rsidR="00416A9E" w:rsidRDefault="00416A9E" w:rsidP="00DC74C3">
      <w:pPr>
        <w:jc w:val="right"/>
      </w:pPr>
    </w:p>
    <w:p w:rsidR="00416A9E" w:rsidRDefault="00416A9E" w:rsidP="00DC74C3">
      <w:pPr>
        <w:jc w:val="right"/>
      </w:pPr>
    </w:p>
    <w:p w:rsidR="00416A9E" w:rsidRDefault="00416A9E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F13CB" w:rsidRDefault="00DF13CB" w:rsidP="00DC74C3">
      <w:pPr>
        <w:jc w:val="right"/>
      </w:pPr>
    </w:p>
    <w:p w:rsidR="00D5074E" w:rsidRDefault="00D5074E" w:rsidP="00DC74C3">
      <w:pPr>
        <w:jc w:val="right"/>
      </w:pPr>
    </w:p>
    <w:p w:rsidR="00D5074E" w:rsidRDefault="00D5074E" w:rsidP="00DC74C3">
      <w:pPr>
        <w:jc w:val="right"/>
      </w:pPr>
    </w:p>
    <w:p w:rsidR="00D5074E" w:rsidRDefault="00D5074E" w:rsidP="00DC74C3">
      <w:pPr>
        <w:jc w:val="right"/>
      </w:pPr>
    </w:p>
    <w:p w:rsidR="00D5074E" w:rsidRDefault="00D5074E" w:rsidP="00DC74C3">
      <w:pPr>
        <w:jc w:val="right"/>
      </w:pPr>
    </w:p>
    <w:p w:rsidR="00DF13CB" w:rsidRDefault="00DF13CB" w:rsidP="00C86BDA"/>
    <w:p w:rsidR="00C86BDA" w:rsidRDefault="00C86BDA" w:rsidP="00C86BDA"/>
    <w:p w:rsidR="00764ADE" w:rsidRPr="0005568F" w:rsidRDefault="00CD5CD0" w:rsidP="00DC74C3">
      <w:pPr>
        <w:jc w:val="right"/>
      </w:pPr>
      <w:r>
        <w:lastRenderedPageBreak/>
        <w:t>Приложение</w:t>
      </w:r>
    </w:p>
    <w:p w:rsidR="002526F1" w:rsidRDefault="00C86BDA" w:rsidP="00C86BDA">
      <w:pPr>
        <w:pStyle w:val="ConsPlusTitle"/>
        <w:widowControl/>
        <w:tabs>
          <w:tab w:val="left" w:pos="5812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к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5F05DA" w:rsidRPr="0005568F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Устьянского муниципального района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BDA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="00416A9E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C15F71">
        <w:rPr>
          <w:rFonts w:ascii="Times New Roman" w:hAnsi="Times New Roman" w:cs="Times New Roman"/>
          <w:b w:val="0"/>
          <w:sz w:val="24"/>
          <w:szCs w:val="24"/>
        </w:rPr>
        <w:t>2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BDA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BDA">
        <w:rPr>
          <w:rFonts w:ascii="Times New Roman" w:hAnsi="Times New Roman" w:cs="Times New Roman"/>
          <w:b w:val="0"/>
          <w:sz w:val="24"/>
          <w:szCs w:val="24"/>
        </w:rPr>
        <w:t>2094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</w:t>
      </w:r>
      <w:r w:rsidR="00042B2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042B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стратегического развития администрации Устьянского муниципального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D2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бланков свидетельств об осуществлении перевозок по маршруту регулярных перевозок;</w:t>
            </w:r>
          </w:p>
          <w:p w:rsidR="006D24F2" w:rsidRPr="006D24F2" w:rsidRDefault="006D24F2" w:rsidP="006D24F2">
            <w:pPr>
              <w:pStyle w:val="ConsPlusNormal"/>
              <w:widowControl/>
              <w:tabs>
                <w:tab w:val="left" w:pos="194"/>
                <w:tab w:val="left" w:pos="33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паспортизация, проектирование, строительство и реконструкцию автомобильных дорог общего пользования местного значения муниципального </w:t>
            </w:r>
            <w:proofErr w:type="spellStart"/>
            <w:r w:rsidR="00042B27">
              <w:rPr>
                <w:rFonts w:ascii="Times New Roman" w:hAnsi="Times New Roman" w:cs="Times New Roman"/>
                <w:bCs/>
                <w:sz w:val="24"/>
                <w:szCs w:val="24"/>
              </w:rPr>
              <w:t>окурга</w:t>
            </w:r>
            <w:proofErr w:type="spellEnd"/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ремонт и обустройство автомобильных дорог общего пользования местного значения вне границ населенных пунктов, в границах муниципального </w:t>
            </w:r>
            <w:r w:rsidR="00410E53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F601F3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F60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Pr="00F601F3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поселений, входящих в состав муниципального образования "Устьянский муниципальный район" в соответствии с п.2 Порядка формирования и использования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бюджетных ассигнований муниципального дорожного фонда МО "Устьянский муниципальный район"</w:t>
            </w:r>
            <w:r w:rsidR="005E6FFA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772D29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них,</w:t>
            </w:r>
            <w:r w:rsidR="0010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границах муниципального 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округа;</w:t>
            </w:r>
          </w:p>
          <w:p w:rsidR="005E6FFA" w:rsidRDefault="004625A1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 р</w:t>
            </w:r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дороги «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Лойга-Кизема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» круглогодичного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2.10. к</w:t>
            </w:r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апитальный ремонт моста через речку Сереж на автомобильной дороге п.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Илеза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д.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2.11. р</w:t>
            </w:r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межпоселенческих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и мостовых переходов 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Березницкого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территориального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Pr="00DD0964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а</w:t>
            </w:r>
            <w:r w:rsidRPr="00410E53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сфальтирование автомобильной дороги общего пользования местного значения </w:t>
            </w:r>
            <w:proofErr w:type="spellStart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протяженностью  300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410E5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области;</w:t>
            </w:r>
          </w:p>
          <w:p w:rsidR="00DD0964" w:rsidRPr="00DD0964" w:rsidRDefault="00DD0964" w:rsidP="00042B27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F60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</w:t>
            </w:r>
            <w:r w:rsidR="00F601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>357 372,</w:t>
            </w:r>
            <w:r w:rsidR="00906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DD0964" w:rsidRPr="00906B01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6D0C4A" w:rsidRPr="009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B01" w:rsidRPr="00906B01">
              <w:rPr>
                <w:rFonts w:ascii="Times New Roman" w:hAnsi="Times New Roman" w:cs="Times New Roman"/>
                <w:sz w:val="24"/>
                <w:szCs w:val="24"/>
              </w:rPr>
              <w:t>9861,1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906B01" w:rsidRPr="00906B01">
              <w:rPr>
                <w:rFonts w:ascii="Times New Roman" w:hAnsi="Times New Roman" w:cs="Times New Roman"/>
                <w:sz w:val="24"/>
                <w:szCs w:val="24"/>
              </w:rPr>
              <w:t>293320,9</w:t>
            </w:r>
            <w:r w:rsidR="00FF7F68" w:rsidRPr="00906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373" w:rsidRPr="00DD0964" w:rsidRDefault="00E81373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7F6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gram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  <w:proofErr w:type="gram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до одного знака после запятой)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lastRenderedPageBreak/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t xml:space="preserve"> </w:t>
      </w:r>
      <w:r w:rsidR="00827F4B">
        <w:tab/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 xml:space="preserve"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</w:t>
      </w:r>
      <w:r w:rsidR="00C1529B" w:rsidRPr="0005568F">
        <w:lastRenderedPageBreak/>
        <w:t>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</w:t>
      </w:r>
      <w:proofErr w:type="gramStart"/>
      <w:r w:rsidR="00C1529B"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="00C1529B"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Объем субсидий ниже экономически </w:t>
      </w:r>
      <w:proofErr w:type="gramStart"/>
      <w:r w:rsidR="00C1529B" w:rsidRPr="0005568F">
        <w:t>обоснованного</w:t>
      </w:r>
      <w:proofErr w:type="gramEnd"/>
      <w:r w:rsidR="00C1529B"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lastRenderedPageBreak/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22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848</w:t>
      </w:r>
      <w:r w:rsidR="0012164D" w:rsidRPr="00863E47">
        <w:t>,</w:t>
      </w:r>
      <w:r w:rsidR="00673A21" w:rsidRPr="00863E47">
        <w:t>7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6A101D" w:rsidRPr="00863E47">
        <w:t>72</w:t>
      </w:r>
      <w:r w:rsidR="0012164D" w:rsidRPr="00863E47">
        <w:t>,</w:t>
      </w:r>
      <w:r w:rsidR="006A101D" w:rsidRPr="00863E47">
        <w:t>9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475</w:t>
      </w:r>
      <w:r w:rsidR="000337A6" w:rsidRPr="00863E47">
        <w:t>,</w:t>
      </w:r>
      <w:r w:rsidR="006A101D" w:rsidRPr="00863E47">
        <w:t>8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DD0964">
        <w:t>0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 xml:space="preserve">» </w:t>
      </w:r>
      <w:proofErr w:type="spellStart"/>
      <w:r w:rsidR="00C1529B" w:rsidRPr="0005568F">
        <w:t>Устьянского</w:t>
      </w:r>
      <w:proofErr w:type="spellEnd"/>
      <w:r w:rsidR="00C1529B"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Устьянского </w:t>
      </w:r>
      <w:r w:rsidR="001C64ED">
        <w:t>муниципального округа</w:t>
      </w:r>
      <w:r w:rsidRPr="0005568F">
        <w:t>.</w:t>
      </w:r>
    </w:p>
    <w:p w:rsidR="001C64ED" w:rsidRPr="0005568F" w:rsidRDefault="001C64ED" w:rsidP="005332F9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округе</w:t>
      </w:r>
      <w:r w:rsidRPr="0005568F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 w:rsidR="001C64ED">
        <w:rPr>
          <w:rFonts w:ascii="Times New Roman" w:hAnsi="Times New Roman" w:cs="Times New Roman"/>
          <w:sz w:val="24"/>
          <w:szCs w:val="24"/>
        </w:rPr>
        <w:t>округа</w:t>
      </w:r>
      <w:r w:rsidRPr="0005568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</w:t>
      </w:r>
      <w:r w:rsidR="00A337B9">
        <w:rPr>
          <w:rFonts w:ascii="Times New Roman" w:hAnsi="Times New Roman" w:cs="Times New Roman"/>
          <w:sz w:val="24"/>
          <w:szCs w:val="24"/>
        </w:rPr>
        <w:t>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</w:t>
      </w:r>
      <w:r w:rsidR="001C64ED">
        <w:t>5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 w:rsidR="001C64ED">
        <w:t>5</w:t>
      </w:r>
      <w:r w:rsidRPr="00641387">
        <w:t xml:space="preserve"> 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>Приложении № 3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Расчет целевых показателей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Расчет целевых показателей и источники информации приведены в Приложении № </w:t>
      </w:r>
      <w:r w:rsidR="004F281A">
        <w:t>1</w:t>
      </w: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4F28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Перечень основных мероприятий Программы приведен в Приложении № </w:t>
      </w:r>
      <w:r w:rsidR="004F281A">
        <w:t>3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4F281A">
        <w:t>4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1C64ED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</w:t>
            </w:r>
            <w:r w:rsidRPr="00F135EE">
              <w:rPr>
                <w:color w:val="000000"/>
              </w:rPr>
              <w:t xml:space="preserve">них в границах </w:t>
            </w:r>
            <w:r w:rsidRPr="00AC36B6">
              <w:rPr>
                <w:color w:val="000000"/>
              </w:rPr>
              <w:t xml:space="preserve">муниципального </w:t>
            </w:r>
            <w:r w:rsidR="001C64ED">
              <w:rPr>
                <w:color w:val="000000"/>
              </w:rPr>
              <w:t xml:space="preserve">округа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содержание   и обустройство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ремонт и обустройство  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A74B8C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lastRenderedPageBreak/>
              <w:t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</w:t>
            </w:r>
            <w:r w:rsidR="00A74B8C">
              <w:rPr>
                <w:color w:val="000000"/>
              </w:rPr>
              <w:t xml:space="preserve"> округа </w:t>
            </w:r>
            <w:r w:rsidRPr="00AC36B6">
              <w:rPr>
                <w:color w:val="000000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</w:t>
            </w:r>
            <w:r w:rsidR="00A74B8C">
              <w:rPr>
                <w:color w:val="000000"/>
                <w:sz w:val="22"/>
                <w:szCs w:val="22"/>
              </w:rPr>
              <w:t>округа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</w:t>
      </w:r>
      <w:r w:rsidR="008255E6" w:rsidRPr="00E46EFF">
        <w:lastRenderedPageBreak/>
        <w:t xml:space="preserve">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37</w:t>
      </w:r>
      <w:r>
        <w:t>6</w:t>
      </w:r>
      <w:r w:rsidRPr="00FA0EE1">
        <w:t>,</w:t>
      </w:r>
      <w:r>
        <w:t>0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>
        <w:rPr>
          <w:color w:val="000000"/>
        </w:rPr>
        <w:t>389</w:t>
      </w:r>
      <w:r w:rsidRPr="00FA0EE1">
        <w:t>,</w:t>
      </w:r>
      <w:r>
        <w:t>8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01B" w:rsidRPr="00497FEA">
        <w:rPr>
          <w:rFonts w:ascii="Times New Roman" w:hAnsi="Times New Roman" w:cs="Times New Roman"/>
        </w:rPr>
        <w:t xml:space="preserve">Приложение N </w:t>
      </w:r>
      <w:r w:rsidR="00487829">
        <w:rPr>
          <w:rFonts w:ascii="Times New Roman" w:hAnsi="Times New Roman" w:cs="Times New Roman"/>
        </w:rPr>
        <w:t>1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F135EE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</w:t>
            </w:r>
            <w:r w:rsidR="00D507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1.4. 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1.6. Ремонт и обустройство автомобильных дорог общего пользования местного значения вне границ населенных пунктов, включая 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дорожной сети в границах населенных пунктов (дорожная сеть с твердым покрытием городского поселения МО «Октябрьское).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9E7ED6">
          <w:headerReference w:type="even" r:id="rId13"/>
          <w:headerReference w:type="default" r:id="rId14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1B7F7A" w:rsidP="001B7F7A">
      <w:pPr>
        <w:pStyle w:val="ConsPlusNormal"/>
        <w:tabs>
          <w:tab w:val="left" w:pos="426"/>
          <w:tab w:val="left" w:pos="11983"/>
          <w:tab w:val="right" w:pos="15988"/>
        </w:tabs>
        <w:jc w:val="right"/>
        <w:outlineLvl w:val="1"/>
        <w:rPr>
          <w:rFonts w:ascii="Times New Roman" w:hAnsi="Times New Roman" w:cs="Times New Roman"/>
        </w:rPr>
      </w:pPr>
      <w:bookmarkStart w:id="1" w:name="P281"/>
      <w:bookmarkEnd w:id="1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BF018F">
        <w:rPr>
          <w:rFonts w:ascii="Times New Roman" w:hAnsi="Times New Roman" w:cs="Times New Roman"/>
        </w:rPr>
        <w:t xml:space="preserve">Приложение № </w:t>
      </w:r>
      <w:r w:rsidR="00487829">
        <w:rPr>
          <w:rFonts w:ascii="Times New Roman" w:hAnsi="Times New Roman" w:cs="Times New Roman"/>
        </w:rPr>
        <w:t>2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пассаж/км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</w:t>
            </w:r>
            <w:r w:rsidRPr="00D07444">
              <w:rPr>
                <w:bCs/>
              </w:rPr>
              <w:lastRenderedPageBreak/>
              <w:t xml:space="preserve">образования  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1B7F7A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дорожной сети в границах населенных пунктов (дорожная сеть с твердым покрытием городского поселения МО «Октябрьское).</w:t>
            </w:r>
          </w:p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9AB" w:rsidRDefault="00C639AB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967E6D">
          <w:pgSz w:w="11906" w:h="16838"/>
          <w:pgMar w:top="1134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487829">
        <w:rPr>
          <w:rFonts w:ascii="Times New Roman" w:hAnsi="Times New Roman" w:cs="Times New Roman"/>
        </w:rPr>
        <w:t>4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918"/>
        <w:gridCol w:w="2856"/>
        <w:gridCol w:w="1366"/>
        <w:gridCol w:w="1266"/>
        <w:gridCol w:w="1316"/>
        <w:gridCol w:w="1366"/>
        <w:gridCol w:w="1366"/>
        <w:gridCol w:w="1366"/>
      </w:tblGrid>
      <w:tr w:rsidR="00423059" w:rsidRPr="001D50DF" w:rsidTr="00C66C36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23059" w:rsidRPr="001D50DF" w:rsidTr="00C66C36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059" w:rsidRPr="006563C6" w:rsidRDefault="00423059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9" w:rsidRPr="006563C6" w:rsidRDefault="00423059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63C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29122E" w:rsidRPr="001D50DF" w:rsidTr="00C66C36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2E" w:rsidRPr="006563C6" w:rsidRDefault="002912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2E" w:rsidRPr="006563C6" w:rsidRDefault="0029122E" w:rsidP="004230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357 372 057,70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2E" w:rsidRPr="002366A3" w:rsidRDefault="002912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70 976 313,51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2E" w:rsidRPr="002366A3" w:rsidRDefault="002912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40240912,79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22E" w:rsidRPr="001B7F7A" w:rsidRDefault="0029122E" w:rsidP="001B7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50461100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22E" w:rsidRPr="0029122E" w:rsidRDefault="0029122E" w:rsidP="005A3328">
            <w:pPr>
              <w:jc w:val="center"/>
              <w:rPr>
                <w:color w:val="2C2D2E"/>
                <w:sz w:val="20"/>
                <w:szCs w:val="20"/>
              </w:rPr>
            </w:pPr>
            <w:r w:rsidRPr="0029122E">
              <w:rPr>
                <w:bCs/>
                <w:color w:val="2C2D2E"/>
                <w:sz w:val="20"/>
                <w:szCs w:val="20"/>
              </w:rPr>
              <w:t>74 817 518,00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22E" w:rsidRPr="0029122E" w:rsidRDefault="0029122E" w:rsidP="005A3328">
            <w:pPr>
              <w:jc w:val="center"/>
              <w:rPr>
                <w:color w:val="2C2D2E"/>
                <w:sz w:val="20"/>
                <w:szCs w:val="20"/>
              </w:rPr>
            </w:pPr>
            <w:r w:rsidRPr="0029122E">
              <w:rPr>
                <w:bCs/>
                <w:color w:val="2C2D2E"/>
                <w:sz w:val="20"/>
                <w:szCs w:val="20"/>
              </w:rPr>
              <w:t>59 510 873,00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22E" w:rsidRPr="0029122E" w:rsidRDefault="0029122E" w:rsidP="005A3328">
            <w:pPr>
              <w:jc w:val="center"/>
              <w:rPr>
                <w:color w:val="2C2D2E"/>
                <w:sz w:val="20"/>
                <w:szCs w:val="20"/>
              </w:rPr>
            </w:pPr>
            <w:r w:rsidRPr="0029122E">
              <w:rPr>
                <w:bCs/>
                <w:color w:val="2C2D2E"/>
                <w:sz w:val="20"/>
                <w:szCs w:val="20"/>
              </w:rPr>
              <w:t>61 365 340,00</w:t>
            </w:r>
          </w:p>
        </w:tc>
      </w:tr>
      <w:tr w:rsidR="00423059" w:rsidRPr="001D50DF" w:rsidTr="00C66C3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 w:rsidRPr="006563C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563C6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C36" w:rsidRPr="002366A3" w:rsidRDefault="00C66C36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23059" w:rsidRPr="001D50DF" w:rsidTr="00C66C3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79580E">
              <w:rPr>
                <w:bCs/>
                <w:color w:val="000000"/>
                <w:sz w:val="20"/>
                <w:szCs w:val="20"/>
              </w:rPr>
              <w:t>9 861 061,91</w:t>
            </w:r>
          </w:p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2366A3" w:rsidRDefault="00423059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10139445,91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2366A3" w:rsidRDefault="00E1313F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059" w:rsidRPr="002366A3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059" w:rsidRPr="001D50DF" w:rsidTr="00C66C36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D5074E" w:rsidP="00D50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="00423059" w:rsidRPr="006563C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6563C6" w:rsidRDefault="0079580E" w:rsidP="007958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293 320 995,79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45040447,51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34455162,79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059" w:rsidRPr="006563C6" w:rsidRDefault="00423059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40321654,49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E1313F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56817518,00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059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23059" w:rsidRPr="001D50DF" w:rsidTr="00C66C36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059" w:rsidRPr="006563C6" w:rsidRDefault="0042305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Pr="00D754FB" w:rsidRDefault="00802E97" w:rsidP="00E85E66">
      <w:pPr>
        <w:tabs>
          <w:tab w:val="left" w:pos="0"/>
        </w:tabs>
        <w:rPr>
          <w:lang w:val="en-US"/>
        </w:rPr>
      </w:pPr>
    </w:p>
    <w:sectPr w:rsidR="00802E97" w:rsidRPr="00D754FB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C2" w:rsidRDefault="00AD0AC2" w:rsidP="00EC06AF">
      <w:r>
        <w:separator/>
      </w:r>
    </w:p>
  </w:endnote>
  <w:endnote w:type="continuationSeparator" w:id="0">
    <w:p w:rsidR="00AD0AC2" w:rsidRDefault="00AD0AC2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C2" w:rsidRDefault="00AD0AC2" w:rsidP="00EC06AF">
      <w:r>
        <w:separator/>
      </w:r>
    </w:p>
  </w:footnote>
  <w:footnote w:type="continuationSeparator" w:id="0">
    <w:p w:rsidR="00AD0AC2" w:rsidRDefault="00AD0AC2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23" w:rsidRDefault="008773C0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64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423" w:rsidRDefault="00686423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23" w:rsidRDefault="00686423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88A"/>
    <w:rsid w:val="00142EBF"/>
    <w:rsid w:val="00142FD4"/>
    <w:rsid w:val="001446CB"/>
    <w:rsid w:val="00144F01"/>
    <w:rsid w:val="0014516A"/>
    <w:rsid w:val="00145A17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1A5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37F4"/>
    <w:rsid w:val="007841A5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3C0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2AE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A3E"/>
    <w:rsid w:val="00AF6B99"/>
    <w:rsid w:val="00AF7276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6BDA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415B"/>
    <w:rsid w:val="00D84237"/>
    <w:rsid w:val="00D8451D"/>
    <w:rsid w:val="00D84BD6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A52"/>
    <w:rsid w:val="00DE2D0D"/>
    <w:rsid w:val="00DE4977"/>
    <w:rsid w:val="00DE5E58"/>
    <w:rsid w:val="00DE6205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CE858-6520-4602-A832-1E73CF1A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16</Pages>
  <Words>3672</Words>
  <Characters>28742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44</cp:revision>
  <cp:lastPrinted>2022-11-14T11:43:00Z</cp:lastPrinted>
  <dcterms:created xsi:type="dcterms:W3CDTF">2022-07-01T06:19:00Z</dcterms:created>
  <dcterms:modified xsi:type="dcterms:W3CDTF">2022-11-14T11:43:00Z</dcterms:modified>
</cp:coreProperties>
</file>