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7C" w:rsidRPr="00862E75" w:rsidRDefault="00327F7C" w:rsidP="00327F7C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>Приложение №</w:t>
      </w:r>
      <w:r w:rsidR="005748F4">
        <w:rPr>
          <w:sz w:val="18"/>
          <w:szCs w:val="18"/>
        </w:rPr>
        <w:t>1</w:t>
      </w:r>
    </w:p>
    <w:p w:rsidR="005748F4" w:rsidRPr="005748F4" w:rsidRDefault="00327F7C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 xml:space="preserve"> к </w:t>
      </w:r>
      <w:r w:rsidR="00DC1C3D" w:rsidRPr="00862E75">
        <w:rPr>
          <w:sz w:val="18"/>
          <w:szCs w:val="18"/>
        </w:rPr>
        <w:t>положению</w:t>
      </w:r>
      <w:r w:rsidR="005748F4">
        <w:rPr>
          <w:sz w:val="18"/>
          <w:szCs w:val="18"/>
        </w:rPr>
        <w:t xml:space="preserve"> о</w:t>
      </w:r>
      <w:r w:rsidR="005748F4" w:rsidRPr="005748F4">
        <w:t xml:space="preserve"> </w:t>
      </w:r>
      <w:r w:rsidR="005748F4" w:rsidRPr="005748F4">
        <w:rPr>
          <w:sz w:val="18"/>
          <w:szCs w:val="18"/>
        </w:rPr>
        <w:t xml:space="preserve">комиссии по осуществлению контроля </w:t>
      </w:r>
    </w:p>
    <w:p w:rsidR="005748F4" w:rsidRPr="005748F4" w:rsidRDefault="005748F4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5748F4">
        <w:rPr>
          <w:sz w:val="18"/>
          <w:szCs w:val="18"/>
        </w:rPr>
        <w:t xml:space="preserve">за соблюдением условий концессионных соглашений на территории </w:t>
      </w:r>
    </w:p>
    <w:p w:rsidR="000C1D5F" w:rsidRPr="00862E75" w:rsidRDefault="005748F4" w:rsidP="005748F4">
      <w:pPr>
        <w:spacing w:line="276" w:lineRule="auto"/>
        <w:ind w:firstLine="851"/>
        <w:jc w:val="right"/>
        <w:rPr>
          <w:sz w:val="18"/>
          <w:szCs w:val="18"/>
        </w:rPr>
      </w:pPr>
      <w:r w:rsidRPr="005748F4">
        <w:rPr>
          <w:sz w:val="18"/>
          <w:szCs w:val="18"/>
        </w:rPr>
        <w:t>Устьянского муниципального округа</w:t>
      </w:r>
      <w:r w:rsidR="00DC1C3D" w:rsidRPr="00862E75">
        <w:rPr>
          <w:sz w:val="18"/>
          <w:szCs w:val="18"/>
        </w:rPr>
        <w:t xml:space="preserve">, </w:t>
      </w:r>
      <w:proofErr w:type="gramStart"/>
      <w:r w:rsidR="00DC1C3D" w:rsidRPr="00862E75">
        <w:rPr>
          <w:sz w:val="18"/>
          <w:szCs w:val="18"/>
        </w:rPr>
        <w:t>утвержденному</w:t>
      </w:r>
      <w:proofErr w:type="gramEnd"/>
      <w:r w:rsidR="00DC1C3D" w:rsidRPr="00862E75">
        <w:rPr>
          <w:sz w:val="18"/>
          <w:szCs w:val="18"/>
        </w:rPr>
        <w:t xml:space="preserve"> </w:t>
      </w:r>
    </w:p>
    <w:p w:rsidR="000C1D5F" w:rsidRPr="00862E75" w:rsidRDefault="00DC1C3D" w:rsidP="000C1D5F">
      <w:pPr>
        <w:spacing w:line="276" w:lineRule="auto"/>
        <w:ind w:firstLine="851"/>
        <w:jc w:val="right"/>
        <w:rPr>
          <w:sz w:val="18"/>
          <w:szCs w:val="18"/>
        </w:rPr>
      </w:pPr>
      <w:r w:rsidRPr="00862E75">
        <w:rPr>
          <w:sz w:val="18"/>
          <w:szCs w:val="18"/>
        </w:rPr>
        <w:t>постановлением</w:t>
      </w:r>
      <w:r w:rsidR="001B758B">
        <w:rPr>
          <w:sz w:val="18"/>
          <w:szCs w:val="18"/>
        </w:rPr>
        <w:t xml:space="preserve"> администрации УМО </w:t>
      </w:r>
      <w:r w:rsidR="000C1D5F" w:rsidRPr="00862E75">
        <w:rPr>
          <w:sz w:val="18"/>
          <w:szCs w:val="18"/>
        </w:rPr>
        <w:t xml:space="preserve"> № 2612  от 07</w:t>
      </w:r>
      <w:r w:rsidR="005748F4">
        <w:rPr>
          <w:sz w:val="18"/>
          <w:szCs w:val="18"/>
        </w:rPr>
        <w:t xml:space="preserve"> ноября </w:t>
      </w:r>
      <w:r w:rsidR="000C1D5F" w:rsidRPr="00862E75">
        <w:rPr>
          <w:sz w:val="18"/>
          <w:szCs w:val="18"/>
        </w:rPr>
        <w:t>2024 г.</w:t>
      </w:r>
    </w:p>
    <w:p w:rsidR="00327F7C" w:rsidRDefault="00327F7C" w:rsidP="00327F7C">
      <w:pPr>
        <w:spacing w:line="276" w:lineRule="auto"/>
        <w:ind w:firstLine="851"/>
        <w:jc w:val="right"/>
      </w:pPr>
    </w:p>
    <w:p w:rsidR="00327F7C" w:rsidRDefault="00327F7C" w:rsidP="00327F7C">
      <w:pPr>
        <w:spacing w:line="276" w:lineRule="auto"/>
        <w:ind w:firstLine="851"/>
        <w:jc w:val="right"/>
      </w:pPr>
    </w:p>
    <w:p w:rsidR="00692631" w:rsidRDefault="00327F7C" w:rsidP="00195496">
      <w:pPr>
        <w:spacing w:line="276" w:lineRule="auto"/>
        <w:ind w:firstLine="851"/>
        <w:jc w:val="both"/>
      </w:pPr>
      <w:r>
        <w:t>Акт о результатах контроля за соблюдением исполнения условий концессионного соглашения от «</w:t>
      </w:r>
      <w:r w:rsidR="00C65ED8">
        <w:t>17</w:t>
      </w:r>
      <w:r>
        <w:t xml:space="preserve">» </w:t>
      </w:r>
      <w:r w:rsidR="00195496">
        <w:t>декабря</w:t>
      </w:r>
      <w:r w:rsidR="00C65ED8">
        <w:t xml:space="preserve"> 20</w:t>
      </w:r>
      <w:r w:rsidR="00195496">
        <w:t>20</w:t>
      </w:r>
      <w:r>
        <w:t xml:space="preserve"> года, заключенного </w:t>
      </w:r>
      <w:r w:rsidRPr="005F6DA6">
        <w:t>с «</w:t>
      </w:r>
      <w:r w:rsidR="005F6DA6" w:rsidRPr="005F6DA6">
        <w:t xml:space="preserve">ООО </w:t>
      </w:r>
      <w:r w:rsidR="00195496">
        <w:t>РЭП-1</w:t>
      </w:r>
      <w:r w:rsidRPr="005F6DA6">
        <w:t>»</w:t>
      </w:r>
      <w:r>
        <w:t xml:space="preserve"> </w:t>
      </w:r>
      <w:r w:rsidR="00195496" w:rsidRPr="00195496">
        <w:t>в отношении объектов цент</w:t>
      </w:r>
      <w:r w:rsidR="00195496">
        <w:t>рализованного теплоснабжения, рас</w:t>
      </w:r>
      <w:r w:rsidR="00195496" w:rsidRPr="00195496">
        <w:t>положенных на территории дер</w:t>
      </w:r>
      <w:proofErr w:type="gramStart"/>
      <w:r w:rsidR="00195496" w:rsidRPr="00195496">
        <w:t>.</w:t>
      </w:r>
      <w:r w:rsidR="00BF18B5">
        <w:t>У</w:t>
      </w:r>
      <w:proofErr w:type="gramEnd"/>
      <w:r w:rsidR="00BF18B5">
        <w:t>льяновская</w:t>
      </w:r>
      <w:r w:rsidR="00195496" w:rsidRPr="00195496">
        <w:t xml:space="preserve"> Устьянского района Архангельской области</w:t>
      </w:r>
    </w:p>
    <w:p w:rsidR="00692631" w:rsidRDefault="00692631" w:rsidP="00327F7C">
      <w:pPr>
        <w:spacing w:line="276" w:lineRule="auto"/>
        <w:ind w:firstLine="851"/>
        <w:jc w:val="center"/>
      </w:pPr>
    </w:p>
    <w:p w:rsidR="00692631" w:rsidRDefault="005F6DA6" w:rsidP="00C159DB">
      <w:pPr>
        <w:spacing w:line="276" w:lineRule="auto"/>
        <w:ind w:firstLine="284"/>
        <w:jc w:val="both"/>
      </w:pPr>
      <w:proofErr w:type="gramStart"/>
      <w:r>
        <w:t>Октябрьский</w:t>
      </w:r>
      <w:proofErr w:type="gramEnd"/>
      <w:r>
        <w:t xml:space="preserve">                                                                </w:t>
      </w:r>
      <w:r w:rsidR="00F221A5">
        <w:t xml:space="preserve">                                      </w:t>
      </w:r>
      <w:r>
        <w:t xml:space="preserve">  </w:t>
      </w:r>
      <w:r w:rsidR="00692631">
        <w:t>«</w:t>
      </w:r>
      <w:r w:rsidR="00F221A5">
        <w:t>15» ноября 2024 года</w:t>
      </w:r>
      <w:r w:rsidR="00692631">
        <w:t xml:space="preserve">  </w:t>
      </w:r>
    </w:p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</w:pPr>
      <w:proofErr w:type="spellStart"/>
      <w:r>
        <w:t>Концедент</w:t>
      </w:r>
      <w:proofErr w:type="spellEnd"/>
      <w:r w:rsidR="005F6DA6">
        <w:t xml:space="preserve"> – Общество с ограниченной ответственностью «</w:t>
      </w:r>
      <w:r w:rsidR="00195496">
        <w:t>РЭП-1</w:t>
      </w:r>
      <w:r w:rsidR="005F6DA6">
        <w:t>»</w:t>
      </w:r>
    </w:p>
    <w:p w:rsidR="00692631" w:rsidRDefault="00692631" w:rsidP="00C159DB">
      <w:pPr>
        <w:spacing w:line="276" w:lineRule="auto"/>
        <w:ind w:firstLine="284"/>
        <w:jc w:val="both"/>
      </w:pPr>
      <w:r>
        <w:t>Концессионер</w:t>
      </w:r>
      <w:r w:rsidR="005F6DA6">
        <w:t xml:space="preserve"> – </w:t>
      </w:r>
      <w:r w:rsidR="00195496">
        <w:t>Устьянский муниципальный район Архангельской области</w:t>
      </w:r>
    </w:p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</w:pPr>
      <w:r>
        <w:t>Проверка проводилась комиссией  в следующем составе (далее - Комиссия)</w:t>
      </w:r>
      <w:r w:rsidR="008B7B0A">
        <w:t>:</w:t>
      </w:r>
    </w:p>
    <w:p w:rsidR="00692631" w:rsidRDefault="00692631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ook w:val="04A0"/>
      </w:tblPr>
      <w:tblGrid>
        <w:gridCol w:w="2802"/>
        <w:gridCol w:w="7512"/>
      </w:tblGrid>
      <w:tr w:rsidR="00692631" w:rsidTr="00F221A5">
        <w:tc>
          <w:tcPr>
            <w:tcW w:w="2802" w:type="dxa"/>
          </w:tcPr>
          <w:p w:rsidR="00692631" w:rsidRDefault="00692631" w:rsidP="008B7B0A">
            <w:pPr>
              <w:spacing w:line="276" w:lineRule="auto"/>
              <w:ind w:firstLine="284"/>
              <w:jc w:val="center"/>
            </w:pPr>
            <w:r>
              <w:t>ФИО члена комиссии</w:t>
            </w:r>
          </w:p>
        </w:tc>
        <w:tc>
          <w:tcPr>
            <w:tcW w:w="7512" w:type="dxa"/>
          </w:tcPr>
          <w:p w:rsidR="00692631" w:rsidRDefault="00692631" w:rsidP="008B7B0A">
            <w:pPr>
              <w:spacing w:line="276" w:lineRule="auto"/>
              <w:ind w:firstLine="284"/>
              <w:jc w:val="center"/>
            </w:pPr>
            <w:r>
              <w:t>Должность члена комиссии</w:t>
            </w:r>
          </w:p>
        </w:tc>
      </w:tr>
      <w:tr w:rsidR="00692631" w:rsidTr="00F221A5">
        <w:tc>
          <w:tcPr>
            <w:tcW w:w="2802" w:type="dxa"/>
          </w:tcPr>
          <w:p w:rsidR="00692631" w:rsidRDefault="00492EBD" w:rsidP="00D37B18">
            <w:pPr>
              <w:spacing w:line="276" w:lineRule="auto"/>
              <w:ind w:firstLine="284"/>
              <w:jc w:val="center"/>
            </w:pPr>
            <w:proofErr w:type="spellStart"/>
            <w:r>
              <w:t>Рядчин</w:t>
            </w:r>
            <w:proofErr w:type="spellEnd"/>
            <w:r>
              <w:t xml:space="preserve"> АВ</w:t>
            </w:r>
          </w:p>
        </w:tc>
        <w:tc>
          <w:tcPr>
            <w:tcW w:w="7512" w:type="dxa"/>
          </w:tcPr>
          <w:p w:rsidR="00492EBD" w:rsidRPr="00492EBD" w:rsidRDefault="00492EBD" w:rsidP="00D37B18">
            <w:pPr>
              <w:shd w:val="clear" w:color="auto" w:fill="FFFFFF"/>
            </w:pPr>
            <w:r w:rsidRPr="00492EBD">
              <w:t>заместитель главы  администрации Устьянского муниципального округа Архангельской области по имуществу и инфраструктуре.</w:t>
            </w:r>
          </w:p>
          <w:p w:rsidR="00692631" w:rsidRDefault="00692631" w:rsidP="00D37B18">
            <w:pPr>
              <w:tabs>
                <w:tab w:val="left" w:pos="2085"/>
              </w:tabs>
              <w:spacing w:line="276" w:lineRule="auto"/>
              <w:ind w:firstLine="284"/>
            </w:pPr>
          </w:p>
        </w:tc>
      </w:tr>
      <w:tr w:rsidR="00B57EC9" w:rsidTr="00F221A5">
        <w:tc>
          <w:tcPr>
            <w:tcW w:w="2802" w:type="dxa"/>
          </w:tcPr>
          <w:p w:rsidR="00B57EC9" w:rsidRPr="00D37B18" w:rsidRDefault="00B57EC9" w:rsidP="00B93526">
            <w:pPr>
              <w:spacing w:line="276" w:lineRule="auto"/>
              <w:ind w:firstLine="284"/>
              <w:jc w:val="center"/>
            </w:pPr>
            <w:r>
              <w:t>Духанина С.В.</w:t>
            </w:r>
          </w:p>
        </w:tc>
        <w:tc>
          <w:tcPr>
            <w:tcW w:w="7512" w:type="dxa"/>
          </w:tcPr>
          <w:p w:rsidR="00B57EC9" w:rsidRPr="007D4968" w:rsidRDefault="00B57EC9" w:rsidP="00B93526">
            <w:pPr>
              <w:spacing w:line="276" w:lineRule="auto"/>
              <w:ind w:firstLine="34"/>
            </w:pPr>
            <w:r w:rsidRPr="007D4968">
              <w:t>заведующий отделом учета, управления и распоряжения имуществом комитета по управлению муниципальным имуществом администрации Устьянского муниципального округа Архангельской области</w:t>
            </w:r>
          </w:p>
        </w:tc>
      </w:tr>
      <w:tr w:rsidR="00692631" w:rsidTr="00F221A5">
        <w:tc>
          <w:tcPr>
            <w:tcW w:w="2802" w:type="dxa"/>
          </w:tcPr>
          <w:p w:rsidR="00692631" w:rsidRPr="00D37B18" w:rsidRDefault="00DC52E7" w:rsidP="00D37B18">
            <w:pPr>
              <w:tabs>
                <w:tab w:val="left" w:pos="1395"/>
              </w:tabs>
              <w:spacing w:line="276" w:lineRule="auto"/>
              <w:ind w:firstLine="284"/>
              <w:jc w:val="center"/>
            </w:pPr>
            <w:proofErr w:type="spellStart"/>
            <w:r>
              <w:t>Макурин</w:t>
            </w:r>
            <w:proofErr w:type="spellEnd"/>
            <w:r>
              <w:t xml:space="preserve"> Н.С.</w:t>
            </w:r>
          </w:p>
        </w:tc>
        <w:tc>
          <w:tcPr>
            <w:tcW w:w="7512" w:type="dxa"/>
          </w:tcPr>
          <w:p w:rsidR="00692631" w:rsidRPr="00D37B18" w:rsidRDefault="00DC52E7" w:rsidP="00D37B18">
            <w:pPr>
              <w:spacing w:line="276" w:lineRule="auto"/>
              <w:ind w:firstLine="34"/>
            </w:pPr>
            <w:r>
              <w:t>Генеральный директор ООО «РЭП-1»</w:t>
            </w:r>
          </w:p>
        </w:tc>
      </w:tr>
      <w:tr w:rsidR="00D37B18" w:rsidTr="00F221A5">
        <w:tc>
          <w:tcPr>
            <w:tcW w:w="2802" w:type="dxa"/>
          </w:tcPr>
          <w:p w:rsidR="00D37B18" w:rsidRPr="00D37B18" w:rsidRDefault="00D37B18" w:rsidP="00D37B18">
            <w:pPr>
              <w:tabs>
                <w:tab w:val="left" w:pos="1995"/>
              </w:tabs>
              <w:spacing w:line="276" w:lineRule="auto"/>
              <w:ind w:firstLine="284"/>
              <w:jc w:val="center"/>
            </w:pPr>
            <w:r w:rsidRPr="00D37B18">
              <w:t>Веревкина Е.С.</w:t>
            </w:r>
          </w:p>
        </w:tc>
        <w:tc>
          <w:tcPr>
            <w:tcW w:w="7512" w:type="dxa"/>
          </w:tcPr>
          <w:p w:rsidR="00D37B18" w:rsidRPr="00D37B18" w:rsidRDefault="00D37B18" w:rsidP="00D37B18">
            <w:pPr>
              <w:spacing w:line="276" w:lineRule="auto"/>
              <w:ind w:firstLine="34"/>
            </w:pPr>
            <w:r w:rsidRPr="00D37B18">
              <w:t>заведующий отделом жилищно-коммунального хозяйства администрации Устьянского муниципального округа Архангельской области.</w:t>
            </w:r>
          </w:p>
        </w:tc>
      </w:tr>
    </w:tbl>
    <w:p w:rsidR="00692631" w:rsidRDefault="00692631" w:rsidP="00C159DB">
      <w:pPr>
        <w:spacing w:line="276" w:lineRule="auto"/>
        <w:ind w:firstLine="284"/>
        <w:jc w:val="both"/>
      </w:pPr>
    </w:p>
    <w:p w:rsidR="00692631" w:rsidRDefault="00692631" w:rsidP="00C159DB">
      <w:pPr>
        <w:spacing w:line="276" w:lineRule="auto"/>
        <w:ind w:firstLine="284"/>
        <w:jc w:val="both"/>
        <w:rPr>
          <w:i/>
        </w:rPr>
      </w:pPr>
      <w:r>
        <w:t xml:space="preserve">Проверка проводилась в присутствии законного представителя концессионера – </w:t>
      </w:r>
      <w:proofErr w:type="spellStart"/>
      <w:r w:rsidR="00195496">
        <w:t>Макурин</w:t>
      </w:r>
      <w:proofErr w:type="spellEnd"/>
      <w:r w:rsidR="00195496">
        <w:t xml:space="preserve"> Н.С.</w:t>
      </w:r>
      <w:r w:rsidR="003F475E" w:rsidRPr="003F475E">
        <w:rPr>
          <w:sz w:val="22"/>
          <w:szCs w:val="22"/>
        </w:rPr>
        <w:t xml:space="preserve"> </w:t>
      </w:r>
      <w:r w:rsidR="00195496">
        <w:rPr>
          <w:sz w:val="22"/>
          <w:szCs w:val="22"/>
        </w:rPr>
        <w:t>генеральный директор</w:t>
      </w:r>
      <w:r w:rsidR="003F475E" w:rsidRPr="00D37B18">
        <w:rPr>
          <w:sz w:val="22"/>
          <w:szCs w:val="22"/>
        </w:rPr>
        <w:t xml:space="preserve">  ООО «</w:t>
      </w:r>
      <w:r w:rsidR="00195496">
        <w:rPr>
          <w:sz w:val="22"/>
          <w:szCs w:val="22"/>
        </w:rPr>
        <w:t>РЭП-1»</w:t>
      </w:r>
    </w:p>
    <w:p w:rsidR="00692631" w:rsidRDefault="00692631" w:rsidP="00C159DB">
      <w:pPr>
        <w:spacing w:line="276" w:lineRule="auto"/>
        <w:ind w:firstLine="284"/>
        <w:jc w:val="both"/>
      </w:pPr>
      <w:r>
        <w:t xml:space="preserve">Проверка проводилась с </w:t>
      </w:r>
      <w:r w:rsidR="003F475E">
        <w:t>11.11.2024 г.</w:t>
      </w:r>
      <w:r>
        <w:t xml:space="preserve">   по </w:t>
      </w:r>
      <w:r w:rsidR="003F475E">
        <w:t xml:space="preserve">  15.11.2024 г.</w:t>
      </w:r>
    </w:p>
    <w:p w:rsidR="00692631" w:rsidRDefault="00692631" w:rsidP="00C159DB">
      <w:pPr>
        <w:spacing w:line="276" w:lineRule="auto"/>
        <w:ind w:firstLine="284"/>
        <w:jc w:val="both"/>
      </w:pPr>
      <w:r>
        <w:t xml:space="preserve">Проверяемый период:    </w:t>
      </w:r>
      <w:r w:rsidR="003F475E">
        <w:t>2023 год</w:t>
      </w:r>
    </w:p>
    <w:p w:rsidR="00692631" w:rsidRDefault="00692631" w:rsidP="00C159DB">
      <w:pPr>
        <w:spacing w:line="276" w:lineRule="auto"/>
        <w:ind w:firstLine="284"/>
        <w:jc w:val="both"/>
      </w:pPr>
      <w:proofErr w:type="gramStart"/>
      <w:r>
        <w:t xml:space="preserve">Цель: контроль за соблюдением концессионером условий </w:t>
      </w:r>
      <w:r w:rsidR="002B2EF2">
        <w:t>концессионного соглашения, в то</w:t>
      </w:r>
      <w:r>
        <w:t>м числе за исполнением обязательств по соблюдению сроков создания и (или) рек</w:t>
      </w:r>
      <w:r w:rsidR="008B7B0A">
        <w:t>онструкции</w:t>
      </w:r>
      <w:r w:rsidR="00357458">
        <w:t>, обеспечению соответствия технико-экономических показателей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  <w:proofErr w:type="gramEnd"/>
    </w:p>
    <w:p w:rsidR="00357458" w:rsidRDefault="00357458" w:rsidP="00C159DB">
      <w:pPr>
        <w:spacing w:line="276" w:lineRule="auto"/>
        <w:ind w:firstLine="284"/>
        <w:jc w:val="both"/>
      </w:pPr>
      <w:r>
        <w:t>Комиссией</w:t>
      </w:r>
      <w:r w:rsidR="008B7B0A">
        <w:t>,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соблюдением концессионером условий концессионного соглашения</w:t>
      </w:r>
      <w:r w:rsidR="008B7B0A">
        <w:t>,</w:t>
      </w:r>
      <w:r>
        <w:t xml:space="preserve"> осуществлен путем проверки исполнения обязательств по созданию и (или) реконструкции следующих объектов:</w:t>
      </w:r>
    </w:p>
    <w:p w:rsidR="00357458" w:rsidRDefault="00357458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ook w:val="04A0"/>
      </w:tblPr>
      <w:tblGrid>
        <w:gridCol w:w="5211"/>
        <w:gridCol w:w="5211"/>
      </w:tblGrid>
      <w:tr w:rsidR="00357458" w:rsidTr="00357458">
        <w:tc>
          <w:tcPr>
            <w:tcW w:w="5211" w:type="dxa"/>
          </w:tcPr>
          <w:p w:rsidR="00357458" w:rsidRDefault="00357458" w:rsidP="008B7B0A">
            <w:pPr>
              <w:spacing w:line="276" w:lineRule="auto"/>
              <w:ind w:firstLine="284"/>
              <w:jc w:val="center"/>
            </w:pPr>
            <w:r>
              <w:t>Наименование объекта</w:t>
            </w:r>
          </w:p>
        </w:tc>
        <w:tc>
          <w:tcPr>
            <w:tcW w:w="5211" w:type="dxa"/>
          </w:tcPr>
          <w:p w:rsidR="00357458" w:rsidRDefault="00357458" w:rsidP="008B7B0A">
            <w:pPr>
              <w:spacing w:line="276" w:lineRule="auto"/>
              <w:ind w:firstLine="284"/>
              <w:jc w:val="center"/>
            </w:pPr>
            <w:r>
              <w:t>Адрес объекта</w:t>
            </w:r>
          </w:p>
        </w:tc>
      </w:tr>
      <w:tr w:rsidR="00357458" w:rsidTr="00357458"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357458" w:rsidRDefault="00357458" w:rsidP="004D5600">
            <w:pPr>
              <w:spacing w:line="276" w:lineRule="auto"/>
              <w:ind w:firstLine="34"/>
              <w:jc w:val="both"/>
            </w:pPr>
          </w:p>
        </w:tc>
      </w:tr>
      <w:tr w:rsidR="00357458" w:rsidTr="00357458">
        <w:tc>
          <w:tcPr>
            <w:tcW w:w="5211" w:type="dxa"/>
          </w:tcPr>
          <w:p w:rsidR="00357458" w:rsidRDefault="00357458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5211" w:type="dxa"/>
          </w:tcPr>
          <w:p w:rsidR="00357458" w:rsidRDefault="00357458" w:rsidP="004D5600">
            <w:pPr>
              <w:spacing w:line="276" w:lineRule="auto"/>
              <w:ind w:firstLine="34"/>
              <w:jc w:val="both"/>
            </w:pPr>
          </w:p>
        </w:tc>
      </w:tr>
    </w:tbl>
    <w:p w:rsidR="00357458" w:rsidRDefault="00E35F71" w:rsidP="00C159DB">
      <w:pPr>
        <w:spacing w:line="276" w:lineRule="auto"/>
        <w:ind w:firstLine="284"/>
        <w:jc w:val="both"/>
      </w:pPr>
      <w:r>
        <w:t xml:space="preserve"> Членами комиссии осуществлены следующие мероприятия:</w:t>
      </w:r>
    </w:p>
    <w:p w:rsidR="00E35F71" w:rsidRDefault="00E35F71" w:rsidP="00C159DB">
      <w:pPr>
        <w:pStyle w:val="a7"/>
        <w:numPr>
          <w:ilvl w:val="0"/>
          <w:numId w:val="2"/>
        </w:numPr>
        <w:spacing w:line="276" w:lineRule="auto"/>
        <w:ind w:firstLine="284"/>
        <w:jc w:val="both"/>
      </w:pPr>
      <w:r>
        <w:t>Рассмотрена информация концессионера об исполнении обязательств по концессионному соглашению</w:t>
      </w:r>
    </w:p>
    <w:p w:rsidR="00E35F71" w:rsidRDefault="00E35F71" w:rsidP="00C159DB">
      <w:pPr>
        <w:spacing w:line="276" w:lineRule="auto"/>
        <w:ind w:firstLine="284"/>
        <w:jc w:val="both"/>
      </w:pPr>
    </w:p>
    <w:p w:rsidR="00E35F71" w:rsidRDefault="00E35F71" w:rsidP="00C159DB">
      <w:pPr>
        <w:spacing w:line="276" w:lineRule="auto"/>
        <w:ind w:firstLine="284"/>
        <w:jc w:val="both"/>
      </w:pPr>
      <w: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E35F71" w:rsidRDefault="00E35F71" w:rsidP="00C159DB">
      <w:pPr>
        <w:spacing w:line="276" w:lineRule="auto"/>
        <w:ind w:firstLine="284"/>
        <w:jc w:val="both"/>
      </w:pPr>
    </w:p>
    <w:tbl>
      <w:tblPr>
        <w:tblStyle w:val="af"/>
        <w:tblW w:w="0" w:type="auto"/>
        <w:tblLayout w:type="fixed"/>
        <w:tblLook w:val="04A0"/>
      </w:tblPr>
      <w:tblGrid>
        <w:gridCol w:w="4361"/>
        <w:gridCol w:w="989"/>
        <w:gridCol w:w="1005"/>
        <w:gridCol w:w="1164"/>
        <w:gridCol w:w="1134"/>
        <w:gridCol w:w="1559"/>
      </w:tblGrid>
      <w:tr w:rsidR="00E35F71" w:rsidTr="005426E2">
        <w:tc>
          <w:tcPr>
            <w:tcW w:w="4361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Наименование мероприятия</w:t>
            </w:r>
          </w:p>
        </w:tc>
        <w:tc>
          <w:tcPr>
            <w:tcW w:w="989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Год реализации мероприятия, ПЛАН</w:t>
            </w:r>
          </w:p>
        </w:tc>
        <w:tc>
          <w:tcPr>
            <w:tcW w:w="1005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Год реализации мероприятия, ФАКТ</w:t>
            </w:r>
          </w:p>
        </w:tc>
        <w:tc>
          <w:tcPr>
            <w:tcW w:w="1164" w:type="dxa"/>
          </w:tcPr>
          <w:p w:rsidR="00E35F71" w:rsidRDefault="00E35F71" w:rsidP="008B7B0A">
            <w:pPr>
              <w:spacing w:line="276" w:lineRule="auto"/>
              <w:ind w:firstLine="284"/>
              <w:jc w:val="center"/>
            </w:pPr>
            <w:r>
              <w:t>Объем расходов по мероприятию, ПЛАН,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</w:tcPr>
          <w:p w:rsidR="00E35F71" w:rsidRDefault="003352E3" w:rsidP="008B7B0A">
            <w:pPr>
              <w:spacing w:line="276" w:lineRule="auto"/>
              <w:ind w:firstLine="284"/>
              <w:jc w:val="center"/>
            </w:pPr>
            <w:r>
              <w:t>Объем расходов по мероприятию, ФАКТ,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9" w:type="dxa"/>
          </w:tcPr>
          <w:p w:rsidR="00E35F71" w:rsidRDefault="003352E3" w:rsidP="008B7B0A">
            <w:pPr>
              <w:spacing w:line="276" w:lineRule="auto"/>
              <w:ind w:firstLine="284"/>
              <w:jc w:val="center"/>
            </w:pPr>
            <w:r>
              <w:t>Степень исполнения (</w:t>
            </w:r>
            <w:proofErr w:type="gramStart"/>
            <w:r>
              <w:t>исполнен</w:t>
            </w:r>
            <w:proofErr w:type="gramEnd"/>
            <w:r>
              <w:t>/не исполнено/исполнено частично)</w:t>
            </w:r>
          </w:p>
        </w:tc>
      </w:tr>
      <w:tr w:rsidR="00E35F71" w:rsidTr="00821E9F">
        <w:trPr>
          <w:trHeight w:val="708"/>
        </w:trPr>
        <w:tc>
          <w:tcPr>
            <w:tcW w:w="4361" w:type="dxa"/>
          </w:tcPr>
          <w:p w:rsidR="00E35F71" w:rsidRDefault="00E35F71" w:rsidP="005426E2">
            <w:pPr>
              <w:spacing w:line="276" w:lineRule="auto"/>
              <w:jc w:val="both"/>
            </w:pPr>
          </w:p>
        </w:tc>
        <w:tc>
          <w:tcPr>
            <w:tcW w:w="989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005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  <w:tc>
          <w:tcPr>
            <w:tcW w:w="1164" w:type="dxa"/>
          </w:tcPr>
          <w:p w:rsidR="00E35F71" w:rsidRDefault="00E35F71" w:rsidP="005426E2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5F71" w:rsidRDefault="00E35F71" w:rsidP="005426E2">
            <w:pPr>
              <w:tabs>
                <w:tab w:val="left" w:pos="930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:rsidR="00E35F71" w:rsidRDefault="00E35F71" w:rsidP="00C159DB">
            <w:pPr>
              <w:spacing w:line="276" w:lineRule="auto"/>
              <w:ind w:firstLine="284"/>
              <w:jc w:val="both"/>
            </w:pPr>
          </w:p>
        </w:tc>
      </w:tr>
      <w:tr w:rsidR="00044189" w:rsidTr="005426E2">
        <w:tc>
          <w:tcPr>
            <w:tcW w:w="4361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989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</w:p>
        </w:tc>
        <w:tc>
          <w:tcPr>
            <w:tcW w:w="1005" w:type="dxa"/>
          </w:tcPr>
          <w:p w:rsidR="00044189" w:rsidRDefault="00044189" w:rsidP="004D7F7F">
            <w:pPr>
              <w:spacing w:line="276" w:lineRule="auto"/>
              <w:ind w:firstLine="284"/>
              <w:jc w:val="both"/>
            </w:pPr>
          </w:p>
        </w:tc>
        <w:tc>
          <w:tcPr>
            <w:tcW w:w="1164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044189" w:rsidRDefault="00044189" w:rsidP="00821E9F">
            <w:pPr>
              <w:spacing w:line="276" w:lineRule="auto"/>
              <w:jc w:val="center"/>
            </w:pPr>
          </w:p>
        </w:tc>
      </w:tr>
      <w:tr w:rsidR="00044189" w:rsidTr="005426E2">
        <w:tc>
          <w:tcPr>
            <w:tcW w:w="4361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989" w:type="dxa"/>
          </w:tcPr>
          <w:p w:rsidR="00044189" w:rsidRDefault="00044189" w:rsidP="00044189">
            <w:pPr>
              <w:spacing w:line="276" w:lineRule="auto"/>
              <w:ind w:firstLine="284"/>
              <w:jc w:val="both"/>
            </w:pPr>
          </w:p>
        </w:tc>
        <w:tc>
          <w:tcPr>
            <w:tcW w:w="1005" w:type="dxa"/>
          </w:tcPr>
          <w:p w:rsidR="00044189" w:rsidRDefault="00044189" w:rsidP="00044189">
            <w:pPr>
              <w:spacing w:line="276" w:lineRule="auto"/>
              <w:ind w:firstLine="284"/>
              <w:jc w:val="both"/>
            </w:pPr>
          </w:p>
        </w:tc>
        <w:tc>
          <w:tcPr>
            <w:tcW w:w="1164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044189" w:rsidRDefault="00044189" w:rsidP="005426E2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044189" w:rsidRDefault="00044189" w:rsidP="00821E9F">
            <w:pPr>
              <w:spacing w:line="276" w:lineRule="auto"/>
              <w:jc w:val="center"/>
            </w:pPr>
          </w:p>
        </w:tc>
      </w:tr>
    </w:tbl>
    <w:p w:rsidR="00E35F71" w:rsidRDefault="00ED0561" w:rsidP="00C159DB">
      <w:pPr>
        <w:spacing w:line="276" w:lineRule="auto"/>
        <w:ind w:firstLine="284"/>
        <w:jc w:val="both"/>
      </w:pPr>
      <w:r>
        <w:t xml:space="preserve">Технико-экономические показатели объектов концессионного соглашения </w:t>
      </w:r>
      <w:r w:rsidRPr="00EB6551">
        <w:rPr>
          <w:u w:val="single"/>
        </w:rPr>
        <w:t>соответствуют</w:t>
      </w:r>
      <w:r>
        <w:t xml:space="preserve"> (не соответствуют, в случае, если не соответствуют, указать объект) установленным концессионным соглашением технико-экономическим показателям.</w:t>
      </w:r>
    </w:p>
    <w:p w:rsidR="00ED0561" w:rsidRDefault="00ED0561" w:rsidP="00C159DB">
      <w:pPr>
        <w:spacing w:line="276" w:lineRule="auto"/>
        <w:ind w:firstLine="284"/>
        <w:jc w:val="both"/>
      </w:pPr>
      <w:r>
        <w:t xml:space="preserve">Концессионер </w:t>
      </w:r>
      <w:r w:rsidRPr="00EB6551">
        <w:rPr>
          <w:u w:val="single"/>
        </w:rPr>
        <w:t>осуществляет</w:t>
      </w:r>
      <w:r>
        <w:t xml:space="preserve"> (не осуществляет) деятельность в отношении объектов концессионного соглашения в соответствии с концессионным соглашением.</w:t>
      </w:r>
    </w:p>
    <w:p w:rsidR="00EF0BD3" w:rsidRDefault="00EF0BD3" w:rsidP="00E35F71">
      <w:pPr>
        <w:spacing w:line="276" w:lineRule="auto"/>
      </w:pPr>
    </w:p>
    <w:p w:rsidR="00EF0BD3" w:rsidRDefault="00C159DB" w:rsidP="00EF0BD3">
      <w:pPr>
        <w:spacing w:line="276" w:lineRule="auto"/>
        <w:jc w:val="center"/>
      </w:pPr>
      <w:r>
        <w:t>ЗАКЛЮЧЕНИЕ</w:t>
      </w:r>
    </w:p>
    <w:p w:rsidR="00C159DB" w:rsidRDefault="00C159DB" w:rsidP="00EF0BD3">
      <w:pPr>
        <w:spacing w:line="276" w:lineRule="auto"/>
        <w:jc w:val="center"/>
      </w:pPr>
    </w:p>
    <w:p w:rsidR="00195496" w:rsidRDefault="005426E2" w:rsidP="007C278A">
      <w:pPr>
        <w:spacing w:line="276" w:lineRule="auto"/>
        <w:ind w:firstLine="426"/>
        <w:jc w:val="both"/>
        <w:rPr>
          <w:sz w:val="22"/>
          <w:szCs w:val="22"/>
        </w:rPr>
      </w:pPr>
      <w:r w:rsidRPr="005426E2">
        <w:rPr>
          <w:sz w:val="22"/>
          <w:szCs w:val="22"/>
        </w:rPr>
        <w:t xml:space="preserve">В 2023 году </w:t>
      </w:r>
      <w:r w:rsidR="00195496">
        <w:rPr>
          <w:sz w:val="22"/>
          <w:szCs w:val="22"/>
        </w:rPr>
        <w:t>мероприятия в сфере теплоснабжения на территории дер</w:t>
      </w:r>
      <w:proofErr w:type="gramStart"/>
      <w:r w:rsidR="00195496">
        <w:rPr>
          <w:sz w:val="22"/>
          <w:szCs w:val="22"/>
        </w:rPr>
        <w:t>.</w:t>
      </w:r>
      <w:r w:rsidR="00BF18B5">
        <w:rPr>
          <w:sz w:val="22"/>
          <w:szCs w:val="22"/>
        </w:rPr>
        <w:t>У</w:t>
      </w:r>
      <w:proofErr w:type="gramEnd"/>
      <w:r w:rsidR="00BF18B5">
        <w:rPr>
          <w:sz w:val="22"/>
          <w:szCs w:val="22"/>
        </w:rPr>
        <w:t>льяновская</w:t>
      </w:r>
      <w:r w:rsidR="00195496">
        <w:rPr>
          <w:sz w:val="22"/>
          <w:szCs w:val="22"/>
        </w:rPr>
        <w:t xml:space="preserve"> Устьянского района  ООО</w:t>
      </w:r>
      <w:r w:rsidR="00195496" w:rsidRPr="005426E2">
        <w:rPr>
          <w:sz w:val="22"/>
          <w:szCs w:val="22"/>
        </w:rPr>
        <w:t xml:space="preserve"> </w:t>
      </w:r>
      <w:r w:rsidR="00195496">
        <w:rPr>
          <w:sz w:val="22"/>
          <w:szCs w:val="22"/>
        </w:rPr>
        <w:t>«РЭП-1»  инвестиционной программой не запланированы.</w:t>
      </w:r>
      <w:r w:rsidR="00195496" w:rsidRPr="005426E2">
        <w:rPr>
          <w:sz w:val="22"/>
          <w:szCs w:val="22"/>
        </w:rPr>
        <w:t xml:space="preserve"> </w:t>
      </w:r>
    </w:p>
    <w:p w:rsidR="007C278A" w:rsidRPr="007C278A" w:rsidRDefault="007C278A" w:rsidP="007C278A">
      <w:pPr>
        <w:spacing w:line="276" w:lineRule="auto"/>
        <w:ind w:firstLine="567"/>
        <w:jc w:val="both"/>
        <w:rPr>
          <w:sz w:val="22"/>
          <w:szCs w:val="22"/>
        </w:rPr>
      </w:pPr>
      <w:r w:rsidRPr="007C278A">
        <w:rPr>
          <w:sz w:val="22"/>
          <w:szCs w:val="22"/>
        </w:rPr>
        <w:t xml:space="preserve">В соответствии с концессионным соглашением в отношении объектов централизованного теплоснабжения, расположенных на территории дер. </w:t>
      </w:r>
      <w:proofErr w:type="gramStart"/>
      <w:r w:rsidRPr="007C278A">
        <w:rPr>
          <w:sz w:val="22"/>
          <w:szCs w:val="22"/>
        </w:rPr>
        <w:t>Ульяновская</w:t>
      </w:r>
      <w:proofErr w:type="gramEnd"/>
      <w:r w:rsidRPr="007C278A">
        <w:rPr>
          <w:sz w:val="22"/>
          <w:szCs w:val="22"/>
        </w:rPr>
        <w:t xml:space="preserve"> Устьянского района Архангельской области от 17 декабря 2020 года на 2022 год   было запланировано мероприятие по </w:t>
      </w:r>
      <w:r>
        <w:rPr>
          <w:sz w:val="22"/>
          <w:szCs w:val="22"/>
        </w:rPr>
        <w:t xml:space="preserve">реконструкции котельной </w:t>
      </w:r>
      <w:r w:rsidRPr="007C278A">
        <w:rPr>
          <w:sz w:val="22"/>
          <w:szCs w:val="22"/>
        </w:rPr>
        <w:t xml:space="preserve">на сумму 4944,30 тыс. рублей. </w:t>
      </w:r>
    </w:p>
    <w:p w:rsidR="007C278A" w:rsidRPr="007C278A" w:rsidRDefault="007C278A" w:rsidP="007C278A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Запланированные на 2022 </w:t>
      </w:r>
      <w:r w:rsidRPr="007C278A">
        <w:rPr>
          <w:sz w:val="22"/>
          <w:szCs w:val="22"/>
        </w:rPr>
        <w:t xml:space="preserve">год мероприятия по реконструкции котельной </w:t>
      </w:r>
      <w:r w:rsidRPr="007C278A">
        <w:rPr>
          <w:sz w:val="22"/>
          <w:szCs w:val="22"/>
        </w:rPr>
        <w:br/>
        <w:t xml:space="preserve">не были выполнены ввиду того, что администрацией Устьянского муниципального округа было принято решение о строительстве новой котельной в деревне Ульяновская. В данный момент ведутся работы по внесению изменений в концессионное соглашение и корректировке инвестиционной программы. </w:t>
      </w:r>
    </w:p>
    <w:p w:rsidR="007C278A" w:rsidRPr="007C278A" w:rsidRDefault="007C278A" w:rsidP="007C278A">
      <w:pPr>
        <w:spacing w:line="276" w:lineRule="auto"/>
        <w:ind w:firstLine="567"/>
        <w:jc w:val="both"/>
        <w:rPr>
          <w:sz w:val="22"/>
          <w:szCs w:val="22"/>
        </w:rPr>
      </w:pPr>
      <w:r w:rsidRPr="007C278A">
        <w:rPr>
          <w:sz w:val="22"/>
          <w:szCs w:val="22"/>
        </w:rPr>
        <w:t>За 2022 год не были достигнуты плановые значения показателей, достижение которых предусмотрено в ходе реализации мероприятий инвестиционной программы в сфере теплоснабжения.</w:t>
      </w:r>
    </w:p>
    <w:p w:rsidR="00BF18B5" w:rsidRPr="007C278A" w:rsidRDefault="00EB5CA9" w:rsidP="007C278A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F18B5" w:rsidRPr="007C278A">
        <w:rPr>
          <w:sz w:val="22"/>
          <w:szCs w:val="22"/>
        </w:rPr>
        <w:t>В настоящее время ООО «РЭП-1» совместно с администрацией Устьянского муниципального округа ведется подготовка дополнительного соглашения  по внесению изменений в действующее концессионное соглашение.</w:t>
      </w:r>
    </w:p>
    <w:p w:rsidR="007020F6" w:rsidRDefault="007020F6" w:rsidP="00195496">
      <w:pPr>
        <w:spacing w:line="276" w:lineRule="auto"/>
        <w:ind w:firstLine="426"/>
        <w:jc w:val="both"/>
        <w:rPr>
          <w:sz w:val="22"/>
          <w:szCs w:val="22"/>
        </w:rPr>
      </w:pPr>
    </w:p>
    <w:p w:rsidR="00B57EC9" w:rsidRDefault="00B57EC9" w:rsidP="00B57E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Подписи членов комиссии:</w:t>
      </w:r>
    </w:p>
    <w:p w:rsidR="00B57EC9" w:rsidRDefault="00B57EC9" w:rsidP="00B57EC9">
      <w:pPr>
        <w:spacing w:line="276" w:lineRule="auto"/>
        <w:jc w:val="both"/>
        <w:rPr>
          <w:sz w:val="22"/>
          <w:szCs w:val="22"/>
        </w:rPr>
      </w:pPr>
    </w:p>
    <w:p w:rsidR="00B57EC9" w:rsidRDefault="00B57EC9" w:rsidP="00B57EC9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Рядчин</w:t>
      </w:r>
      <w:proofErr w:type="spellEnd"/>
      <w:r>
        <w:rPr>
          <w:sz w:val="22"/>
          <w:szCs w:val="22"/>
        </w:rPr>
        <w:t xml:space="preserve"> А.В.                              ___________________________________</w:t>
      </w:r>
    </w:p>
    <w:p w:rsidR="00B57EC9" w:rsidRDefault="00B57EC9" w:rsidP="00B57EC9">
      <w:pPr>
        <w:spacing w:line="276" w:lineRule="auto"/>
        <w:jc w:val="both"/>
        <w:rPr>
          <w:sz w:val="22"/>
          <w:szCs w:val="22"/>
        </w:rPr>
      </w:pPr>
    </w:p>
    <w:p w:rsidR="00B57EC9" w:rsidRDefault="00B57EC9" w:rsidP="00B57E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Веревкина Е.С.                         ___________________________________</w:t>
      </w:r>
    </w:p>
    <w:p w:rsidR="00B57EC9" w:rsidRDefault="00B57EC9" w:rsidP="00B57EC9">
      <w:pPr>
        <w:spacing w:line="276" w:lineRule="auto"/>
        <w:jc w:val="both"/>
        <w:rPr>
          <w:sz w:val="22"/>
          <w:szCs w:val="22"/>
        </w:rPr>
      </w:pPr>
    </w:p>
    <w:p w:rsidR="00B57EC9" w:rsidRDefault="00B57EC9" w:rsidP="00B57E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Духанина С.В.                          ___________________________________</w:t>
      </w:r>
    </w:p>
    <w:p w:rsidR="00B57EC9" w:rsidRDefault="00B57EC9" w:rsidP="00B57EC9">
      <w:pPr>
        <w:spacing w:line="276" w:lineRule="auto"/>
        <w:jc w:val="both"/>
        <w:rPr>
          <w:sz w:val="22"/>
          <w:szCs w:val="22"/>
        </w:rPr>
      </w:pPr>
    </w:p>
    <w:p w:rsidR="00B57EC9" w:rsidRPr="007D4968" w:rsidRDefault="00DC52E7" w:rsidP="00B57EC9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Макурин</w:t>
      </w:r>
      <w:proofErr w:type="spellEnd"/>
      <w:r>
        <w:rPr>
          <w:sz w:val="22"/>
          <w:szCs w:val="22"/>
        </w:rPr>
        <w:t xml:space="preserve"> Н.С.</w:t>
      </w:r>
      <w:r w:rsidR="00B57EC9">
        <w:rPr>
          <w:sz w:val="22"/>
          <w:szCs w:val="22"/>
        </w:rPr>
        <w:t xml:space="preserve">                               __________________________________</w:t>
      </w:r>
    </w:p>
    <w:p w:rsidR="005426E2" w:rsidRPr="00C159DB" w:rsidRDefault="005426E2" w:rsidP="00C159DB">
      <w:pPr>
        <w:spacing w:line="276" w:lineRule="auto"/>
        <w:jc w:val="both"/>
        <w:rPr>
          <w:i/>
          <w:sz w:val="22"/>
          <w:szCs w:val="22"/>
        </w:rPr>
      </w:pPr>
    </w:p>
    <w:sectPr w:rsidR="005426E2" w:rsidRPr="00C159DB" w:rsidSect="00B57EC9">
      <w:headerReference w:type="default" r:id="rId8"/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DD" w:rsidRDefault="001D75DD" w:rsidP="00AE7B4B">
      <w:r>
        <w:separator/>
      </w:r>
    </w:p>
  </w:endnote>
  <w:endnote w:type="continuationSeparator" w:id="0">
    <w:p w:rsidR="001D75DD" w:rsidRDefault="001D75DD" w:rsidP="00AE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DD" w:rsidRDefault="001D75DD" w:rsidP="00AE7B4B">
      <w:r>
        <w:separator/>
      </w:r>
    </w:p>
  </w:footnote>
  <w:footnote w:type="continuationSeparator" w:id="0">
    <w:p w:rsidR="001D75DD" w:rsidRDefault="001D75DD" w:rsidP="00AE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27" w:rsidRDefault="00931827">
    <w:pPr>
      <w:pStyle w:val="a8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7DD"/>
    <w:multiLevelType w:val="hybridMultilevel"/>
    <w:tmpl w:val="26C6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4F25"/>
    <w:multiLevelType w:val="hybridMultilevel"/>
    <w:tmpl w:val="05E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52AB"/>
    <w:multiLevelType w:val="hybridMultilevel"/>
    <w:tmpl w:val="5D9EE2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1D"/>
    <w:rsid w:val="00002ED8"/>
    <w:rsid w:val="000030B2"/>
    <w:rsid w:val="00010104"/>
    <w:rsid w:val="00022051"/>
    <w:rsid w:val="000351E6"/>
    <w:rsid w:val="00037E47"/>
    <w:rsid w:val="0004387B"/>
    <w:rsid w:val="00044189"/>
    <w:rsid w:val="00050DAC"/>
    <w:rsid w:val="0005103E"/>
    <w:rsid w:val="00053EEC"/>
    <w:rsid w:val="000549B3"/>
    <w:rsid w:val="0006176F"/>
    <w:rsid w:val="0007602F"/>
    <w:rsid w:val="00081353"/>
    <w:rsid w:val="000829FF"/>
    <w:rsid w:val="00097AEF"/>
    <w:rsid w:val="000A5EC4"/>
    <w:rsid w:val="000B0E61"/>
    <w:rsid w:val="000B5C07"/>
    <w:rsid w:val="000B67ED"/>
    <w:rsid w:val="000C08E5"/>
    <w:rsid w:val="000C1C30"/>
    <w:rsid w:val="000C1D5F"/>
    <w:rsid w:val="000C7181"/>
    <w:rsid w:val="000D1DFA"/>
    <w:rsid w:val="000D230F"/>
    <w:rsid w:val="000D304E"/>
    <w:rsid w:val="000D37E8"/>
    <w:rsid w:val="000D6269"/>
    <w:rsid w:val="000D69BC"/>
    <w:rsid w:val="000D7317"/>
    <w:rsid w:val="000D7BAE"/>
    <w:rsid w:val="000E0366"/>
    <w:rsid w:val="000E07DB"/>
    <w:rsid w:val="000E66A3"/>
    <w:rsid w:val="000E6FB5"/>
    <w:rsid w:val="000F17E9"/>
    <w:rsid w:val="000F40C7"/>
    <w:rsid w:val="001004CC"/>
    <w:rsid w:val="001054DE"/>
    <w:rsid w:val="001140EB"/>
    <w:rsid w:val="00125921"/>
    <w:rsid w:val="001361EC"/>
    <w:rsid w:val="00153F75"/>
    <w:rsid w:val="00155118"/>
    <w:rsid w:val="0015539B"/>
    <w:rsid w:val="0015632B"/>
    <w:rsid w:val="00175720"/>
    <w:rsid w:val="00177EE0"/>
    <w:rsid w:val="00184E43"/>
    <w:rsid w:val="00185CEE"/>
    <w:rsid w:val="00191278"/>
    <w:rsid w:val="00195496"/>
    <w:rsid w:val="001A1D96"/>
    <w:rsid w:val="001A1F30"/>
    <w:rsid w:val="001A2EF9"/>
    <w:rsid w:val="001B758B"/>
    <w:rsid w:val="001B7B64"/>
    <w:rsid w:val="001D0E12"/>
    <w:rsid w:val="001D2AAD"/>
    <w:rsid w:val="001D75DD"/>
    <w:rsid w:val="001E3734"/>
    <w:rsid w:val="001F4977"/>
    <w:rsid w:val="00203ACA"/>
    <w:rsid w:val="00203DA9"/>
    <w:rsid w:val="00207DF8"/>
    <w:rsid w:val="00211FFA"/>
    <w:rsid w:val="00214EF2"/>
    <w:rsid w:val="002157C3"/>
    <w:rsid w:val="002262C4"/>
    <w:rsid w:val="00234A7C"/>
    <w:rsid w:val="00246EB0"/>
    <w:rsid w:val="002668D1"/>
    <w:rsid w:val="002679A1"/>
    <w:rsid w:val="00267A63"/>
    <w:rsid w:val="00274B29"/>
    <w:rsid w:val="00274CB1"/>
    <w:rsid w:val="00285D47"/>
    <w:rsid w:val="002924DA"/>
    <w:rsid w:val="002A156F"/>
    <w:rsid w:val="002B2EF2"/>
    <w:rsid w:val="002B6F4A"/>
    <w:rsid w:val="002B7EA4"/>
    <w:rsid w:val="002C161F"/>
    <w:rsid w:val="002C248F"/>
    <w:rsid w:val="002C3E64"/>
    <w:rsid w:val="002C58C0"/>
    <w:rsid w:val="002D4A1D"/>
    <w:rsid w:val="002F3B45"/>
    <w:rsid w:val="002F4183"/>
    <w:rsid w:val="0030157A"/>
    <w:rsid w:val="00310809"/>
    <w:rsid w:val="00315CE5"/>
    <w:rsid w:val="00320921"/>
    <w:rsid w:val="00327F7C"/>
    <w:rsid w:val="003352E3"/>
    <w:rsid w:val="00337F3F"/>
    <w:rsid w:val="00347D8E"/>
    <w:rsid w:val="0035296F"/>
    <w:rsid w:val="00352A5F"/>
    <w:rsid w:val="00357458"/>
    <w:rsid w:val="0036070E"/>
    <w:rsid w:val="003607D9"/>
    <w:rsid w:val="00366D87"/>
    <w:rsid w:val="003744BD"/>
    <w:rsid w:val="0038575A"/>
    <w:rsid w:val="00391654"/>
    <w:rsid w:val="00391FA6"/>
    <w:rsid w:val="00396F76"/>
    <w:rsid w:val="003A131B"/>
    <w:rsid w:val="003A1678"/>
    <w:rsid w:val="003A19E6"/>
    <w:rsid w:val="003A2396"/>
    <w:rsid w:val="003A38A4"/>
    <w:rsid w:val="003A4830"/>
    <w:rsid w:val="003A6F91"/>
    <w:rsid w:val="003B1477"/>
    <w:rsid w:val="003B2131"/>
    <w:rsid w:val="003B4B93"/>
    <w:rsid w:val="003B4CC5"/>
    <w:rsid w:val="003B6791"/>
    <w:rsid w:val="003C0C11"/>
    <w:rsid w:val="003C49BE"/>
    <w:rsid w:val="003E179D"/>
    <w:rsid w:val="003F2D28"/>
    <w:rsid w:val="003F475E"/>
    <w:rsid w:val="00423138"/>
    <w:rsid w:val="00426D47"/>
    <w:rsid w:val="004343F3"/>
    <w:rsid w:val="00444230"/>
    <w:rsid w:val="00456329"/>
    <w:rsid w:val="00467182"/>
    <w:rsid w:val="0046787B"/>
    <w:rsid w:val="004702B7"/>
    <w:rsid w:val="00470E20"/>
    <w:rsid w:val="0047362C"/>
    <w:rsid w:val="0047765F"/>
    <w:rsid w:val="00487307"/>
    <w:rsid w:val="00492EBD"/>
    <w:rsid w:val="00495074"/>
    <w:rsid w:val="004A26D2"/>
    <w:rsid w:val="004C5CDE"/>
    <w:rsid w:val="004D5600"/>
    <w:rsid w:val="004D6CCE"/>
    <w:rsid w:val="004E37C9"/>
    <w:rsid w:val="004F3C5A"/>
    <w:rsid w:val="004F3E32"/>
    <w:rsid w:val="004F5B77"/>
    <w:rsid w:val="0050260C"/>
    <w:rsid w:val="005126A8"/>
    <w:rsid w:val="0051610D"/>
    <w:rsid w:val="005248D6"/>
    <w:rsid w:val="005426E2"/>
    <w:rsid w:val="00554E1C"/>
    <w:rsid w:val="00565BFD"/>
    <w:rsid w:val="005748F4"/>
    <w:rsid w:val="00574AF5"/>
    <w:rsid w:val="00575C4E"/>
    <w:rsid w:val="005929C7"/>
    <w:rsid w:val="005A0EB4"/>
    <w:rsid w:val="005B0180"/>
    <w:rsid w:val="005C3D78"/>
    <w:rsid w:val="005D3E90"/>
    <w:rsid w:val="005E5553"/>
    <w:rsid w:val="005F6DA6"/>
    <w:rsid w:val="005F7DD6"/>
    <w:rsid w:val="006136ED"/>
    <w:rsid w:val="00613C16"/>
    <w:rsid w:val="00613E5A"/>
    <w:rsid w:val="00621191"/>
    <w:rsid w:val="00632A99"/>
    <w:rsid w:val="00642186"/>
    <w:rsid w:val="00656F18"/>
    <w:rsid w:val="00664FB5"/>
    <w:rsid w:val="00667113"/>
    <w:rsid w:val="00667B33"/>
    <w:rsid w:val="0068126E"/>
    <w:rsid w:val="00692631"/>
    <w:rsid w:val="006A43D5"/>
    <w:rsid w:val="006A66DA"/>
    <w:rsid w:val="006B5236"/>
    <w:rsid w:val="006B7745"/>
    <w:rsid w:val="006C2787"/>
    <w:rsid w:val="006D77D3"/>
    <w:rsid w:val="006E418E"/>
    <w:rsid w:val="006E70D0"/>
    <w:rsid w:val="007020F6"/>
    <w:rsid w:val="00722E8D"/>
    <w:rsid w:val="00723C79"/>
    <w:rsid w:val="00731770"/>
    <w:rsid w:val="007338B0"/>
    <w:rsid w:val="00755D41"/>
    <w:rsid w:val="00762A22"/>
    <w:rsid w:val="007752E7"/>
    <w:rsid w:val="007A1A1D"/>
    <w:rsid w:val="007A3A7A"/>
    <w:rsid w:val="007A5535"/>
    <w:rsid w:val="007B0221"/>
    <w:rsid w:val="007B167F"/>
    <w:rsid w:val="007B3E05"/>
    <w:rsid w:val="007C278A"/>
    <w:rsid w:val="007C57B2"/>
    <w:rsid w:val="007D0B36"/>
    <w:rsid w:val="007E24B0"/>
    <w:rsid w:val="007F2846"/>
    <w:rsid w:val="007F4740"/>
    <w:rsid w:val="007F4EC4"/>
    <w:rsid w:val="007F52A4"/>
    <w:rsid w:val="007F6DBA"/>
    <w:rsid w:val="00813EEB"/>
    <w:rsid w:val="00814CB8"/>
    <w:rsid w:val="00815093"/>
    <w:rsid w:val="00816660"/>
    <w:rsid w:val="00821E9F"/>
    <w:rsid w:val="00824680"/>
    <w:rsid w:val="00825767"/>
    <w:rsid w:val="0084282E"/>
    <w:rsid w:val="00850DAF"/>
    <w:rsid w:val="00862E75"/>
    <w:rsid w:val="00866E61"/>
    <w:rsid w:val="00890EE7"/>
    <w:rsid w:val="008939B9"/>
    <w:rsid w:val="008950E3"/>
    <w:rsid w:val="008A04C0"/>
    <w:rsid w:val="008B0CCA"/>
    <w:rsid w:val="008B7B0A"/>
    <w:rsid w:val="008C5AFE"/>
    <w:rsid w:val="008C7DA7"/>
    <w:rsid w:val="008D7FD4"/>
    <w:rsid w:val="008E1527"/>
    <w:rsid w:val="008E6A2B"/>
    <w:rsid w:val="008F00A2"/>
    <w:rsid w:val="008F06F0"/>
    <w:rsid w:val="008F28B0"/>
    <w:rsid w:val="0090057F"/>
    <w:rsid w:val="00900ADB"/>
    <w:rsid w:val="009072C1"/>
    <w:rsid w:val="0091423D"/>
    <w:rsid w:val="00931827"/>
    <w:rsid w:val="00934C78"/>
    <w:rsid w:val="0095606B"/>
    <w:rsid w:val="009665F9"/>
    <w:rsid w:val="00970077"/>
    <w:rsid w:val="009700E1"/>
    <w:rsid w:val="009767D1"/>
    <w:rsid w:val="00982109"/>
    <w:rsid w:val="0098456E"/>
    <w:rsid w:val="00986EF3"/>
    <w:rsid w:val="00991722"/>
    <w:rsid w:val="009A30B9"/>
    <w:rsid w:val="009A4DBB"/>
    <w:rsid w:val="009A53C7"/>
    <w:rsid w:val="009B0429"/>
    <w:rsid w:val="009B409A"/>
    <w:rsid w:val="009C67EE"/>
    <w:rsid w:val="009D2CB1"/>
    <w:rsid w:val="009D2D46"/>
    <w:rsid w:val="009D599B"/>
    <w:rsid w:val="009E1BC9"/>
    <w:rsid w:val="009E2AD2"/>
    <w:rsid w:val="009E6921"/>
    <w:rsid w:val="009F3F1A"/>
    <w:rsid w:val="009F79EF"/>
    <w:rsid w:val="00A00D12"/>
    <w:rsid w:val="00A024E2"/>
    <w:rsid w:val="00A142C7"/>
    <w:rsid w:val="00A17C38"/>
    <w:rsid w:val="00A2041C"/>
    <w:rsid w:val="00A37679"/>
    <w:rsid w:val="00A43079"/>
    <w:rsid w:val="00A4334A"/>
    <w:rsid w:val="00A47C97"/>
    <w:rsid w:val="00A53716"/>
    <w:rsid w:val="00A60FF5"/>
    <w:rsid w:val="00A70DB5"/>
    <w:rsid w:val="00A756E8"/>
    <w:rsid w:val="00A819E5"/>
    <w:rsid w:val="00A8410A"/>
    <w:rsid w:val="00A85A75"/>
    <w:rsid w:val="00A86361"/>
    <w:rsid w:val="00A90374"/>
    <w:rsid w:val="00A90BD2"/>
    <w:rsid w:val="00A923C3"/>
    <w:rsid w:val="00AA4E68"/>
    <w:rsid w:val="00AA5603"/>
    <w:rsid w:val="00AB7E18"/>
    <w:rsid w:val="00AE33E0"/>
    <w:rsid w:val="00AE7B4B"/>
    <w:rsid w:val="00AF1738"/>
    <w:rsid w:val="00AF5E1C"/>
    <w:rsid w:val="00B00D17"/>
    <w:rsid w:val="00B03535"/>
    <w:rsid w:val="00B0401A"/>
    <w:rsid w:val="00B0408E"/>
    <w:rsid w:val="00B05D66"/>
    <w:rsid w:val="00B251E3"/>
    <w:rsid w:val="00B32E2E"/>
    <w:rsid w:val="00B33488"/>
    <w:rsid w:val="00B400AE"/>
    <w:rsid w:val="00B52587"/>
    <w:rsid w:val="00B57EC9"/>
    <w:rsid w:val="00B63FC6"/>
    <w:rsid w:val="00B63FFE"/>
    <w:rsid w:val="00B83D79"/>
    <w:rsid w:val="00B94628"/>
    <w:rsid w:val="00B97B97"/>
    <w:rsid w:val="00BA584E"/>
    <w:rsid w:val="00BB27DD"/>
    <w:rsid w:val="00BB3CCC"/>
    <w:rsid w:val="00BB76F2"/>
    <w:rsid w:val="00BB7E63"/>
    <w:rsid w:val="00BC11C3"/>
    <w:rsid w:val="00BC32DA"/>
    <w:rsid w:val="00BC3DCB"/>
    <w:rsid w:val="00BE07B1"/>
    <w:rsid w:val="00BE0E56"/>
    <w:rsid w:val="00BE2F28"/>
    <w:rsid w:val="00BF1181"/>
    <w:rsid w:val="00BF18B5"/>
    <w:rsid w:val="00C02B0F"/>
    <w:rsid w:val="00C12018"/>
    <w:rsid w:val="00C159DB"/>
    <w:rsid w:val="00C25F00"/>
    <w:rsid w:val="00C30697"/>
    <w:rsid w:val="00C31DD0"/>
    <w:rsid w:val="00C32A23"/>
    <w:rsid w:val="00C42644"/>
    <w:rsid w:val="00C54EEA"/>
    <w:rsid w:val="00C60BCA"/>
    <w:rsid w:val="00C65ED8"/>
    <w:rsid w:val="00C74724"/>
    <w:rsid w:val="00C74924"/>
    <w:rsid w:val="00C94DEA"/>
    <w:rsid w:val="00C95057"/>
    <w:rsid w:val="00CA1246"/>
    <w:rsid w:val="00CA6D8D"/>
    <w:rsid w:val="00CC24A7"/>
    <w:rsid w:val="00CC6187"/>
    <w:rsid w:val="00CD141C"/>
    <w:rsid w:val="00CD3B6B"/>
    <w:rsid w:val="00CD419D"/>
    <w:rsid w:val="00CD4DEE"/>
    <w:rsid w:val="00CD5AAF"/>
    <w:rsid w:val="00CE31B7"/>
    <w:rsid w:val="00CE6495"/>
    <w:rsid w:val="00CF6273"/>
    <w:rsid w:val="00CF66C8"/>
    <w:rsid w:val="00D01DEA"/>
    <w:rsid w:val="00D0205F"/>
    <w:rsid w:val="00D042FA"/>
    <w:rsid w:val="00D06CA0"/>
    <w:rsid w:val="00D0777E"/>
    <w:rsid w:val="00D079B6"/>
    <w:rsid w:val="00D3676C"/>
    <w:rsid w:val="00D37B18"/>
    <w:rsid w:val="00D37CAC"/>
    <w:rsid w:val="00D509F6"/>
    <w:rsid w:val="00D52809"/>
    <w:rsid w:val="00D6345B"/>
    <w:rsid w:val="00D63C0B"/>
    <w:rsid w:val="00D845BB"/>
    <w:rsid w:val="00D860BC"/>
    <w:rsid w:val="00D90864"/>
    <w:rsid w:val="00D920C4"/>
    <w:rsid w:val="00DA28E2"/>
    <w:rsid w:val="00DA6996"/>
    <w:rsid w:val="00DB1B9B"/>
    <w:rsid w:val="00DB71DA"/>
    <w:rsid w:val="00DB7FA6"/>
    <w:rsid w:val="00DC1C3D"/>
    <w:rsid w:val="00DC2575"/>
    <w:rsid w:val="00DC52E7"/>
    <w:rsid w:val="00DD2C73"/>
    <w:rsid w:val="00DD31F5"/>
    <w:rsid w:val="00DD36BE"/>
    <w:rsid w:val="00DE7E7E"/>
    <w:rsid w:val="00DF4059"/>
    <w:rsid w:val="00E01EB6"/>
    <w:rsid w:val="00E021F7"/>
    <w:rsid w:val="00E031FA"/>
    <w:rsid w:val="00E17BA3"/>
    <w:rsid w:val="00E2253F"/>
    <w:rsid w:val="00E3385B"/>
    <w:rsid w:val="00E35F71"/>
    <w:rsid w:val="00E36894"/>
    <w:rsid w:val="00E378BD"/>
    <w:rsid w:val="00E4312F"/>
    <w:rsid w:val="00E54244"/>
    <w:rsid w:val="00E62B14"/>
    <w:rsid w:val="00E84A45"/>
    <w:rsid w:val="00E86671"/>
    <w:rsid w:val="00E90E95"/>
    <w:rsid w:val="00E92A76"/>
    <w:rsid w:val="00E95559"/>
    <w:rsid w:val="00EA7AF6"/>
    <w:rsid w:val="00EB4A8D"/>
    <w:rsid w:val="00EB5CA9"/>
    <w:rsid w:val="00EB6551"/>
    <w:rsid w:val="00EB73C1"/>
    <w:rsid w:val="00EC36CD"/>
    <w:rsid w:val="00EC433F"/>
    <w:rsid w:val="00ED0561"/>
    <w:rsid w:val="00EF0BD3"/>
    <w:rsid w:val="00EF1FFC"/>
    <w:rsid w:val="00F07762"/>
    <w:rsid w:val="00F07FF3"/>
    <w:rsid w:val="00F12756"/>
    <w:rsid w:val="00F12A8B"/>
    <w:rsid w:val="00F12DF8"/>
    <w:rsid w:val="00F16D45"/>
    <w:rsid w:val="00F221A5"/>
    <w:rsid w:val="00F30102"/>
    <w:rsid w:val="00F31EBB"/>
    <w:rsid w:val="00F32EE5"/>
    <w:rsid w:val="00F41923"/>
    <w:rsid w:val="00F45493"/>
    <w:rsid w:val="00F56369"/>
    <w:rsid w:val="00F65B58"/>
    <w:rsid w:val="00F7124B"/>
    <w:rsid w:val="00F73652"/>
    <w:rsid w:val="00F76916"/>
    <w:rsid w:val="00F8659F"/>
    <w:rsid w:val="00FA2BDA"/>
    <w:rsid w:val="00FA4DF5"/>
    <w:rsid w:val="00FC7000"/>
    <w:rsid w:val="00FE7FFB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1D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2D4A1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4A1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1D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D4A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D4A1D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D4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54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17C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1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31827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A23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3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9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57B9C-C43E-4AFC-BCBF-3A2514CD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46</cp:revision>
  <cp:lastPrinted>2024-11-07T12:38:00Z</cp:lastPrinted>
  <dcterms:created xsi:type="dcterms:W3CDTF">2024-08-19T07:57:00Z</dcterms:created>
  <dcterms:modified xsi:type="dcterms:W3CDTF">2024-11-18T13:15:00Z</dcterms:modified>
</cp:coreProperties>
</file>