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9476AD" w:rsidRPr="00F0109B">
        <w:rPr>
          <w:rFonts w:ascii="Times New Roman" w:hAnsi="Times New Roman" w:cs="Times New Roman"/>
          <w:b/>
          <w:sz w:val="24"/>
          <w:szCs w:val="24"/>
        </w:rPr>
        <w:t>в муниципальном</w:t>
      </w:r>
      <w:r w:rsidRPr="00F0109B">
        <w:rPr>
          <w:rFonts w:ascii="Times New Roman" w:hAnsi="Times New Roman" w:cs="Times New Roman"/>
          <w:b/>
          <w:sz w:val="24"/>
          <w:szCs w:val="24"/>
        </w:rPr>
        <w:t xml:space="preserve"> образовании «</w:t>
      </w:r>
      <w:r w:rsidR="00CC0841">
        <w:rPr>
          <w:rFonts w:ascii="Times New Roman" w:hAnsi="Times New Roman" w:cs="Times New Roman"/>
          <w:b/>
          <w:sz w:val="24"/>
          <w:szCs w:val="24"/>
        </w:rPr>
        <w:t>Устьянский муниципальный район»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63EC3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r w:rsidR="002D7031">
              <w:t>Устьянск</w:t>
            </w:r>
            <w:r>
              <w:t>ого</w:t>
            </w:r>
            <w:r w:rsidR="002D7031">
              <w:t xml:space="preserve"> муниципальн</w:t>
            </w:r>
            <w:r>
              <w:t>ого</w:t>
            </w:r>
            <w:r w:rsidR="002D7031">
              <w:t xml:space="preserve"> район</w:t>
            </w:r>
            <w:r>
              <w:t>а Архангельской области</w:t>
            </w:r>
            <w:r w:rsidR="003E055C">
              <w:t xml:space="preserve"> в лице </w:t>
            </w:r>
            <w:r w:rsidR="00163EC3">
              <w:t>отдела жилищно-коммунального хозяйства (2022-2023 г.г.)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«Устьянский муниципальный район» (2020-2021 г.г.)</w:t>
            </w:r>
          </w:p>
          <w:p w:rsidR="00163EC3" w:rsidRDefault="00163EC3" w:rsidP="00CC0841">
            <w:pPr>
              <w:ind w:left="136"/>
            </w:pPr>
            <w:r>
              <w:t>К</w:t>
            </w:r>
            <w:r w:rsidR="00DB4A29">
              <w:t>омитет по управлению муниципальным имуществом администрации Устьянского муниципального района (2022-2025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DB4A29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Устьянского муниципального</w:t>
            </w:r>
            <w:r w:rsidR="00870EDF">
              <w:t xml:space="preserve"> района.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Обеспечение выполнения функций и полномочий на территории сельских поселений муниципального образования «Устьянский муниципальный район»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Выполнение мероприятий в области коммунального хозяйства на территории сельских поселений муниципального образования «Устьянский муниципальный район»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Содержание кладбищ и оказание ритуальных услуг на территории сельских поселений муниципального образования «Устьянский муниципальный район».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муниципального образования «Устьянский муниципальный район» </w:t>
            </w:r>
          </w:p>
          <w:p w:rsidR="003922A0" w:rsidRPr="005B337A" w:rsidRDefault="003922A0" w:rsidP="00175F5E">
            <w:pPr>
              <w:pStyle w:val="a9"/>
              <w:ind w:left="496"/>
              <w:jc w:val="both"/>
            </w:pP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AD" w:rsidRDefault="009476AD" w:rsidP="009476AD">
            <w:pPr>
              <w:ind w:firstLine="278"/>
            </w:pPr>
          </w:p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>Выполнение мероприятий в области жилищного хозяйства на территории сельских поселений МО "Устьянский муниципальный район", в том числе почтовые расходы и публикация в средствах массовой информации</w:t>
            </w:r>
            <w:r w:rsidR="009470B1">
              <w:t xml:space="preserve">, услуги начисления платы за </w:t>
            </w:r>
            <w:proofErr w:type="spellStart"/>
            <w:r w:rsidR="009470B1">
              <w:t>соцнаем</w:t>
            </w:r>
            <w:proofErr w:type="spellEnd"/>
            <w:r w:rsidR="004C0724" w:rsidRPr="006F2CC1">
              <w:t>.</w:t>
            </w:r>
          </w:p>
          <w:p w:rsidR="004C0724" w:rsidRPr="006F2CC1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proofErr w:type="gramStart"/>
            <w:r w:rsidR="009703E8">
              <w:t>.</w:t>
            </w:r>
            <w:proofErr w:type="gramEnd"/>
            <w:r w:rsidR="009703E8">
              <w:t xml:space="preserve"> (</w:t>
            </w:r>
            <w:proofErr w:type="gramStart"/>
            <w:r w:rsidR="009703E8">
              <w:t>о</w:t>
            </w:r>
            <w:proofErr w:type="gramEnd"/>
            <w:r w:rsidR="009703E8">
              <w:t>тветственный исполнитель: администрация Устьянского муниципального района/УСИИ)</w:t>
            </w:r>
          </w:p>
          <w:p w:rsidR="00CD0C94" w:rsidRDefault="00CD0C94" w:rsidP="00CD0C94">
            <w:pPr>
              <w:ind w:left="278"/>
              <w:jc w:val="both"/>
            </w:pPr>
            <w:r>
              <w:t>2.1.1</w:t>
            </w:r>
            <w:proofErr w:type="gramStart"/>
            <w:r>
              <w:t xml:space="preserve"> В</w:t>
            </w:r>
            <w:proofErr w:type="gramEnd"/>
            <w:r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CD0C94" w:rsidP="00CD0C94">
            <w:pPr>
              <w:ind w:left="278"/>
              <w:jc w:val="both"/>
            </w:pPr>
            <w:r>
              <w:t>2.1.2</w:t>
            </w:r>
            <w:proofErr w:type="gramStart"/>
            <w:r>
              <w:t xml:space="preserve"> В</w:t>
            </w:r>
            <w:proofErr w:type="gramEnd"/>
            <w:r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4C0724" w:rsidRPr="006F2CC1" w:rsidRDefault="00CD0C94" w:rsidP="00CD0C94">
            <w:pPr>
              <w:ind w:left="278"/>
              <w:jc w:val="both"/>
            </w:pPr>
            <w:r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9539E2" w:rsidRPr="006F2CC1" w:rsidRDefault="00CD0C94" w:rsidP="00CD0C94">
            <w:pPr>
              <w:ind w:left="278"/>
              <w:jc w:val="both"/>
            </w:pPr>
            <w:r>
              <w:lastRenderedPageBreak/>
              <w:t xml:space="preserve">3.1 </w:t>
            </w:r>
            <w:r w:rsidR="009470B1" w:rsidRPr="009470B1">
              <w:t>Обеспечение выполнения функций  Управлением строительства и инфраструктуры администрации МО "Устьянский муниципальный район"</w:t>
            </w:r>
            <w:r w:rsidR="009539E2" w:rsidRPr="006F2CC1">
              <w:t>.</w:t>
            </w:r>
          </w:p>
          <w:p w:rsidR="002E015C" w:rsidRDefault="00CD0C94" w:rsidP="00CD0C94">
            <w:pPr>
              <w:ind w:left="278"/>
              <w:jc w:val="both"/>
            </w:pPr>
            <w:r>
              <w:t xml:space="preserve">4.1 </w:t>
            </w:r>
            <w:r w:rsidR="009470B1" w:rsidRPr="009470B1">
              <w:t xml:space="preserve">Финансовое обеспечение переданных полномочий в рамках организации в границах поселений </w:t>
            </w:r>
            <w:proofErr w:type="spellStart"/>
            <w:r w:rsidR="009470B1" w:rsidRPr="009470B1">
              <w:t>электро</w:t>
            </w:r>
            <w:proofErr w:type="spellEnd"/>
            <w:r w:rsidR="009470B1" w:rsidRPr="009470B1">
              <w:t>-, тепл</w:t>
            </w:r>
            <w:proofErr w:type="gramStart"/>
            <w:r w:rsidR="009470B1" w:rsidRPr="009470B1">
              <w:t>о-</w:t>
            </w:r>
            <w:proofErr w:type="gramEnd"/>
            <w:r w:rsidR="009470B1" w:rsidRPr="009470B1">
              <w:t xml:space="preserve">, </w:t>
            </w:r>
            <w:proofErr w:type="spellStart"/>
            <w:r w:rsidR="009470B1" w:rsidRPr="009470B1">
              <w:t>газо</w:t>
            </w:r>
            <w:proofErr w:type="spellEnd"/>
            <w:r w:rsidR="009470B1" w:rsidRPr="009470B1">
              <w:t>-, и водоснабжения</w:t>
            </w:r>
            <w:r w:rsidR="002E015C">
              <w:t>.</w:t>
            </w:r>
          </w:p>
          <w:p w:rsidR="009539E2" w:rsidRPr="006F2CC1" w:rsidRDefault="00CD0C94" w:rsidP="00CD0C94">
            <w:pPr>
              <w:ind w:left="278"/>
              <w:jc w:val="both"/>
            </w:pPr>
            <w:r>
              <w:t xml:space="preserve">4.2 </w:t>
            </w:r>
            <w:r w:rsidR="009539E2" w:rsidRPr="006F2CC1">
              <w:t>Ремонт источников децентрализованного водоснабжения на территории сельских поселений муниципального образования "Устьянский муниципальный район".</w:t>
            </w:r>
          </w:p>
          <w:p w:rsidR="002E015C" w:rsidRDefault="00CD0C94" w:rsidP="00CD0C94">
            <w:pPr>
              <w:ind w:left="278"/>
              <w:jc w:val="both"/>
            </w:pPr>
            <w:r>
              <w:t xml:space="preserve">4.3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CD0C94" w:rsidP="00CD0C94">
            <w:pPr>
              <w:ind w:left="278"/>
              <w:jc w:val="both"/>
            </w:pPr>
            <w:r>
              <w:t>4.4 Ремонт водопровода</w:t>
            </w:r>
          </w:p>
          <w:p w:rsidR="00CD0C94" w:rsidRDefault="00CD0C94" w:rsidP="00CD0C94">
            <w:pPr>
              <w:ind w:left="278"/>
              <w:jc w:val="both"/>
            </w:pPr>
            <w:r>
              <w:t>4.5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2E015C">
              <w:t xml:space="preserve"> ритуальных услуг по погребению.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5.3 </w:t>
            </w:r>
            <w:r w:rsidR="002E015C" w:rsidRPr="002E015C">
              <w:t xml:space="preserve">Разработка проектно-сметной документации  </w:t>
            </w:r>
            <w:r>
              <w:t>мест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6.1 </w:t>
            </w:r>
            <w:r w:rsidR="002E015C" w:rsidRPr="002E015C">
              <w:t>Строительство водопроводной сети п. Лойга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6.2 Проведение проверки достоверности сметной стоимости объектов, установка и обвязка котельного оборудования в здании котельной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леза</w:t>
            </w:r>
            <w:proofErr w:type="spellEnd"/>
            <w:r>
              <w:t xml:space="preserve"> и устройство каркасно-модульной котельной </w:t>
            </w:r>
            <w:proofErr w:type="spellStart"/>
            <w:r>
              <w:t>п.Илеза</w:t>
            </w:r>
            <w:proofErr w:type="spellEnd"/>
            <w:r>
              <w:t>.</w:t>
            </w:r>
          </w:p>
          <w:p w:rsidR="002E015C" w:rsidRDefault="003F5B86" w:rsidP="00CD0C94">
            <w:pPr>
              <w:ind w:left="278"/>
              <w:jc w:val="both"/>
            </w:pPr>
            <w:proofErr w:type="gramStart"/>
            <w:r>
              <w:t xml:space="preserve">6.3 </w:t>
            </w:r>
            <w:r w:rsidR="002E015C" w:rsidRPr="002E015C"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="002E015C" w:rsidRPr="002E015C">
              <w:t>Илеза</w:t>
            </w:r>
            <w:proofErr w:type="spellEnd"/>
            <w:r w:rsidR="002E015C">
              <w:t>.</w:t>
            </w:r>
            <w:proofErr w:type="gramEnd"/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2E015C" w:rsidRPr="002E015C">
              <w:t>Разработка ПСД "Строительство и подключение блочно-модульной станции очистки воды"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6.6</w:t>
            </w:r>
            <w:proofErr w:type="gramStart"/>
            <w:r>
              <w:t xml:space="preserve"> </w:t>
            </w:r>
            <w:r w:rsidRPr="003F5B86">
              <w:t>Н</w:t>
            </w:r>
            <w:proofErr w:type="gramEnd"/>
            <w:r w:rsidRPr="003F5B86">
              <w:t>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6.7 </w:t>
            </w:r>
            <w:r w:rsidRPr="003F5B86">
              <w:t>Разработка проектной и рабочей документации по строительству и подключению блочно-модульной станции очистки воды, строительство водопроводных сетей п</w:t>
            </w:r>
            <w:proofErr w:type="gramStart"/>
            <w:r w:rsidRPr="003F5B86">
              <w:t>.К</w:t>
            </w:r>
            <w:proofErr w:type="gramEnd"/>
            <w:r w:rsidRPr="003F5B86">
              <w:t>изема</w:t>
            </w:r>
            <w:r>
              <w:t>.</w:t>
            </w: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2E015C" w:rsidRPr="002E015C">
              <w:t>Уплата взносов на капитальный ремонт многоквартирных домов, находящихся  на территории сельских поселений муниципального образования "Устьянский муниципальный район" в Фонд капитального ремонта многоквартирных домов Архангельской области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8.1  </w:t>
            </w:r>
            <w:r w:rsidR="002E015C" w:rsidRPr="002E015C">
              <w:t>Мероприятия по подготовке к отопительному сезону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8.2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8.3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8.4 </w:t>
            </w:r>
            <w:r w:rsidR="002E015C" w:rsidRPr="002E015C">
              <w:t xml:space="preserve">Проектирование теплотрассы </w:t>
            </w:r>
            <w:proofErr w:type="gramStart"/>
            <w:r w:rsidR="002E015C" w:rsidRPr="002E015C">
              <w:t>в</w:t>
            </w:r>
            <w:proofErr w:type="gramEnd"/>
            <w:r w:rsidR="002E015C" w:rsidRPr="002E015C">
              <w:t xml:space="preserve"> с. Шангалы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9.2 </w:t>
            </w:r>
            <w:r w:rsidRPr="003F5B86">
              <w:t xml:space="preserve">Устройство каркасно-модульной котельной в </w:t>
            </w:r>
            <w:proofErr w:type="spellStart"/>
            <w:r w:rsidRPr="003F5B86">
              <w:t>п</w:t>
            </w:r>
            <w:proofErr w:type="gramStart"/>
            <w:r w:rsidRPr="003F5B86">
              <w:t>.К</w:t>
            </w:r>
            <w:proofErr w:type="gramEnd"/>
            <w:r w:rsidRPr="003F5B86">
              <w:t>вазеньга</w:t>
            </w:r>
            <w:proofErr w:type="spellEnd"/>
            <w:r w:rsidRPr="003F5B86">
              <w:t xml:space="preserve"> 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9.3 </w:t>
            </w:r>
            <w:r w:rsidRPr="003F5B86">
              <w:t xml:space="preserve">Ремонт здания котельной в </w:t>
            </w:r>
            <w:proofErr w:type="spellStart"/>
            <w:r w:rsidRPr="003F5B86">
              <w:t>п</w:t>
            </w:r>
            <w:proofErr w:type="gramStart"/>
            <w:r w:rsidRPr="003F5B86">
              <w:t>.И</w:t>
            </w:r>
            <w:proofErr w:type="gramEnd"/>
            <w:r w:rsidRPr="003F5B86">
              <w:t>леза</w:t>
            </w:r>
            <w:proofErr w:type="spellEnd"/>
            <w:r w:rsidRPr="003F5B86">
              <w:t xml:space="preserve"> </w:t>
            </w:r>
          </w:p>
          <w:p w:rsidR="002E015C" w:rsidRPr="006F2CC1" w:rsidRDefault="00C4118A" w:rsidP="00CD0C94">
            <w:pPr>
              <w:ind w:left="278"/>
              <w:jc w:val="both"/>
            </w:pPr>
            <w:r>
              <w:t xml:space="preserve">9.4 </w:t>
            </w:r>
            <w:r w:rsidRPr="00C4118A">
              <w:t xml:space="preserve">Устройство каркасно-модульной котельной в п. Глубокий </w:t>
            </w:r>
            <w:r>
              <w:t xml:space="preserve">10.1 </w:t>
            </w:r>
            <w:r w:rsidRPr="00C4118A">
              <w:t xml:space="preserve">Предоставление субсидии муниципальным унитарным предприятиям муниципального образования "Устьянский </w:t>
            </w:r>
            <w:r w:rsidRPr="00C4118A">
              <w:lastRenderedPageBreak/>
              <w:t>муниципальный район",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F41507" w:rsidRPr="007422DF">
              <w:t xml:space="preserve">финансирования </w:t>
            </w:r>
            <w:r w:rsidR="00C442EA">
              <w:t xml:space="preserve"> 134 131 240,91</w:t>
            </w:r>
            <w:r w:rsidR="007422DF" w:rsidRPr="007422DF">
              <w:t xml:space="preserve"> 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C442EA">
              <w:t>8 111 758,39</w:t>
            </w:r>
            <w:r w:rsidR="007422DF" w:rsidRPr="007422DF">
              <w:t xml:space="preserve">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>ва бюджета</w:t>
            </w:r>
            <w:r w:rsidR="00D63067" w:rsidRPr="007422DF">
              <w:t xml:space="preserve"> района – </w:t>
            </w:r>
            <w:r w:rsidR="00C442EA">
              <w:t xml:space="preserve">115 037 158,46 </w:t>
            </w:r>
            <w:r w:rsidR="009476AD" w:rsidRPr="007422DF">
              <w:t xml:space="preserve"> </w:t>
            </w:r>
            <w:r w:rsidRPr="007422DF">
              <w:t>рублей;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686902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B10748">
        <w:rPr>
          <w:b/>
        </w:rPr>
        <w:t>муниципального образования</w:t>
      </w:r>
      <w:r w:rsidR="00A15483">
        <w:rPr>
          <w:b/>
        </w:rPr>
        <w:t xml:space="preserve"> «Устьянский муниципальный район»</w:t>
      </w:r>
    </w:p>
    <w:p w:rsidR="00B10748" w:rsidRDefault="00B10748" w:rsidP="00B10748">
      <w:pPr>
        <w:ind w:firstLine="709"/>
        <w:jc w:val="both"/>
      </w:pPr>
      <w:r w:rsidRPr="00CF5A03">
        <w:t>Муниципальное образование «Устьянский муниципальный район» расположен</w:t>
      </w:r>
      <w:r>
        <w:t>о</w:t>
      </w:r>
      <w:r w:rsidRPr="00CF5A03">
        <w:t xml:space="preserve"> на юго-востоке Архангельской области вдоль реки Устья. Общая площадь района 10,7 тыс. кв. км. </w:t>
      </w:r>
      <w:r w:rsidRPr="009F37ED">
        <w:t>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</w:t>
      </w:r>
      <w:r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>На территории сельских поселений муниципального образования «Устьянский муниципальный район»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 xml:space="preserve">65,26 </w:t>
      </w:r>
      <w:r w:rsidR="006455E5" w:rsidRPr="00B23106">
        <w:t xml:space="preserve"> км,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lastRenderedPageBreak/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6466A9">
        <w:t>Канализационных сетей всего 12</w:t>
      </w:r>
      <w:r w:rsidR="006466A9" w:rsidRPr="006466A9">
        <w:t>0</w:t>
      </w:r>
      <w:r w:rsidRPr="006466A9">
        <w:t xml:space="preserve"> км, из них ветхих канализационных сетей </w:t>
      </w:r>
      <w:r w:rsidR="000823A9" w:rsidRPr="006466A9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6466A9">
          <w:t>7 км</w:t>
        </w:r>
      </w:smartTag>
      <w:r w:rsidRPr="006466A9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муниципального образования «Устьянский муниципальный район»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муниципального образования «Устьянский муниципальный район»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>на территории сельских поселений.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lastRenderedPageBreak/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>
        <w:t>муниципального образования «Устьянский муниципальный район».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Устьянского муниципального</w:t>
      </w:r>
      <w:r>
        <w:t xml:space="preserve"> района.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>Реконструкция и модернизация систем коммунальной инфраструктуры, качественное и надежное обеспечение коммунальными услугами потребителей сельских поселений муниципального образования «Устьянский муниципальный район»,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муниципального образования </w:t>
      </w:r>
      <w:r w:rsidRPr="00870EDF">
        <w:t>«Устьянский муниципальный район»</w:t>
      </w:r>
      <w:r>
        <w:t>.</w:t>
      </w:r>
    </w:p>
    <w:p w:rsidR="00605099" w:rsidRDefault="00605099" w:rsidP="005D3434">
      <w:pPr>
        <w:ind w:firstLine="709"/>
        <w:jc w:val="both"/>
      </w:pPr>
    </w:p>
    <w:p w:rsidR="00A22018" w:rsidRDefault="00A22018" w:rsidP="00234A15">
      <w:pPr>
        <w:jc w:val="center"/>
        <w:rPr>
          <w:b/>
        </w:rPr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lastRenderedPageBreak/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9476AD" w:rsidRPr="00712277">
        <w:t>МО</w:t>
      </w:r>
      <w:r>
        <w:t xml:space="preserve"> «Устьянский муниципальный район»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 xml:space="preserve">Выполнение полномочий в рамках организации в границах поселений </w:t>
      </w:r>
      <w:proofErr w:type="spellStart"/>
      <w:r w:rsidRPr="006F2CC1">
        <w:t>электро</w:t>
      </w:r>
      <w:proofErr w:type="spellEnd"/>
      <w:r w:rsidRPr="006F2CC1">
        <w:t>-, тепл</w:t>
      </w:r>
      <w:proofErr w:type="gramStart"/>
      <w:r w:rsidRPr="006F2CC1">
        <w:t>о-</w:t>
      </w:r>
      <w:proofErr w:type="gramEnd"/>
      <w:r w:rsidRPr="006F2CC1">
        <w:t xml:space="preserve">, </w:t>
      </w:r>
      <w:proofErr w:type="spellStart"/>
      <w:r w:rsidRPr="006F2CC1">
        <w:t>газо</w:t>
      </w:r>
      <w:proofErr w:type="spellEnd"/>
      <w:r w:rsidRPr="006F2CC1">
        <w:t>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  - </w:t>
      </w:r>
      <w:r w:rsidRPr="009470B1">
        <w:t>Уборка мусора на кладбищах</w:t>
      </w:r>
      <w:r>
        <w:t>, 100%</w:t>
      </w:r>
      <w:r w:rsidRPr="009470B1">
        <w:t>.</w:t>
      </w:r>
      <w:r>
        <w:t xml:space="preserve"> </w:t>
      </w:r>
    </w:p>
    <w:p w:rsidR="0032774C" w:rsidRDefault="0032774C" w:rsidP="0032774C">
      <w:pPr>
        <w:jc w:val="both"/>
      </w:pPr>
      <w:r>
        <w:t xml:space="preserve">      -  </w:t>
      </w:r>
      <w:r w:rsidRPr="009470B1">
        <w:t>Проект кладбища</w:t>
      </w:r>
      <w:r>
        <w:t xml:space="preserve">, 2 ед. </w:t>
      </w:r>
    </w:p>
    <w:p w:rsidR="0032774C" w:rsidRDefault="0032774C" w:rsidP="0032774C">
      <w:pPr>
        <w:jc w:val="both"/>
      </w:pPr>
      <w:r>
        <w:t xml:space="preserve">      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Уплата взносов на капитальный ремонт многоквартирных домов, находящихся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объеме.</w:t>
      </w:r>
    </w:p>
    <w:p w:rsidR="0032774C" w:rsidRDefault="0032774C" w:rsidP="0032774C">
      <w:pPr>
        <w:ind w:left="356"/>
        <w:jc w:val="both"/>
      </w:pPr>
      <w:r>
        <w:t>-  Выполнение работ по ремонту муниципального жилого фонда (приобретение материалов), 13 ед</w:t>
      </w:r>
      <w:r w:rsidRPr="009470B1">
        <w:t>.</w:t>
      </w:r>
      <w:r>
        <w:t xml:space="preserve"> 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Работы по подготовке к отопительному периоду, 100% ежегодно.</w:t>
      </w:r>
    </w:p>
    <w:p w:rsidR="0032774C" w:rsidRPr="009470B1" w:rsidRDefault="0032774C" w:rsidP="0032774C">
      <w:pPr>
        <w:ind w:left="356"/>
        <w:jc w:val="both"/>
      </w:pPr>
      <w:r>
        <w:t xml:space="preserve">-  </w:t>
      </w:r>
      <w:r w:rsidRPr="009470B1">
        <w:t>Актуализ</w:t>
      </w:r>
      <w:r>
        <w:t>ация</w:t>
      </w:r>
      <w:r w:rsidRPr="009470B1">
        <w:t xml:space="preserve"> схемы теплоснабжения, водоснабжения, водоотведения</w:t>
      </w:r>
      <w:r>
        <w:t>, 1 ед.</w:t>
      </w:r>
    </w:p>
    <w:p w:rsidR="0032774C" w:rsidRPr="009470B1" w:rsidRDefault="0032774C" w:rsidP="0032774C">
      <w:pPr>
        <w:jc w:val="both"/>
      </w:pPr>
      <w:r>
        <w:t xml:space="preserve">      -  </w:t>
      </w:r>
      <w:r w:rsidRPr="009470B1">
        <w:t>Строительство котельной</w:t>
      </w:r>
      <w:r>
        <w:t>, 1 ед.</w:t>
      </w: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27" w:rsidRDefault="00782A27">
      <w:r>
        <w:separator/>
      </w:r>
    </w:p>
  </w:endnote>
  <w:endnote w:type="continuationSeparator" w:id="0">
    <w:p w:rsidR="00782A27" w:rsidRDefault="0078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27" w:rsidRDefault="00782A27">
      <w:r>
        <w:separator/>
      </w:r>
    </w:p>
  </w:footnote>
  <w:footnote w:type="continuationSeparator" w:id="0">
    <w:p w:rsidR="00782A27" w:rsidRDefault="00782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6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8"/>
  </w:num>
  <w:num w:numId="11">
    <w:abstractNumId w:val="8"/>
  </w:num>
  <w:num w:numId="12">
    <w:abstractNumId w:val="1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14"/>
  </w:num>
  <w:num w:numId="18">
    <w:abstractNumId w:val="11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05FB"/>
    <w:rsid w:val="00011701"/>
    <w:rsid w:val="00020A5D"/>
    <w:rsid w:val="000249FF"/>
    <w:rsid w:val="00025C55"/>
    <w:rsid w:val="00026ABD"/>
    <w:rsid w:val="00026FBC"/>
    <w:rsid w:val="000451CB"/>
    <w:rsid w:val="0004549C"/>
    <w:rsid w:val="000510F0"/>
    <w:rsid w:val="0005330B"/>
    <w:rsid w:val="00056766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AE3"/>
    <w:rsid w:val="001047E9"/>
    <w:rsid w:val="00111727"/>
    <w:rsid w:val="001132AF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75F5E"/>
    <w:rsid w:val="00175FBA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2886"/>
    <w:rsid w:val="001E005A"/>
    <w:rsid w:val="001E21C5"/>
    <w:rsid w:val="001E2248"/>
    <w:rsid w:val="001E2E3A"/>
    <w:rsid w:val="001E5E25"/>
    <w:rsid w:val="001E7159"/>
    <w:rsid w:val="001F2E58"/>
    <w:rsid w:val="001F7E74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67A95"/>
    <w:rsid w:val="00270867"/>
    <w:rsid w:val="00271012"/>
    <w:rsid w:val="0027373A"/>
    <w:rsid w:val="002760E2"/>
    <w:rsid w:val="002762CD"/>
    <w:rsid w:val="002826A1"/>
    <w:rsid w:val="00286022"/>
    <w:rsid w:val="0029123B"/>
    <w:rsid w:val="002A0272"/>
    <w:rsid w:val="002A0F4C"/>
    <w:rsid w:val="002A207A"/>
    <w:rsid w:val="002A59E3"/>
    <w:rsid w:val="002B4819"/>
    <w:rsid w:val="002B6C35"/>
    <w:rsid w:val="002C14ED"/>
    <w:rsid w:val="002D189E"/>
    <w:rsid w:val="002D5D14"/>
    <w:rsid w:val="002D6E39"/>
    <w:rsid w:val="002D7031"/>
    <w:rsid w:val="002E015C"/>
    <w:rsid w:val="002E5E18"/>
    <w:rsid w:val="002E6328"/>
    <w:rsid w:val="002F5C04"/>
    <w:rsid w:val="002F5E59"/>
    <w:rsid w:val="002F7AD5"/>
    <w:rsid w:val="00303551"/>
    <w:rsid w:val="003040E6"/>
    <w:rsid w:val="00305326"/>
    <w:rsid w:val="00305913"/>
    <w:rsid w:val="00310071"/>
    <w:rsid w:val="0031010F"/>
    <w:rsid w:val="003117EA"/>
    <w:rsid w:val="00313449"/>
    <w:rsid w:val="00315285"/>
    <w:rsid w:val="00315DCB"/>
    <w:rsid w:val="00317CFC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81B92"/>
    <w:rsid w:val="00382038"/>
    <w:rsid w:val="00387D46"/>
    <w:rsid w:val="003922A0"/>
    <w:rsid w:val="0039496C"/>
    <w:rsid w:val="00397741"/>
    <w:rsid w:val="003A317F"/>
    <w:rsid w:val="003A7D9F"/>
    <w:rsid w:val="003B64BF"/>
    <w:rsid w:val="003B7F88"/>
    <w:rsid w:val="003C0B3D"/>
    <w:rsid w:val="003C57B0"/>
    <w:rsid w:val="003C5C1D"/>
    <w:rsid w:val="003E055C"/>
    <w:rsid w:val="003E0D3D"/>
    <w:rsid w:val="003E4D04"/>
    <w:rsid w:val="003E57D2"/>
    <w:rsid w:val="003F0395"/>
    <w:rsid w:val="003F5B86"/>
    <w:rsid w:val="00405A4E"/>
    <w:rsid w:val="004066BD"/>
    <w:rsid w:val="00412881"/>
    <w:rsid w:val="00412C9A"/>
    <w:rsid w:val="004143D8"/>
    <w:rsid w:val="00415CB7"/>
    <w:rsid w:val="00416F19"/>
    <w:rsid w:val="0042041B"/>
    <w:rsid w:val="004275A6"/>
    <w:rsid w:val="004336E6"/>
    <w:rsid w:val="004408E3"/>
    <w:rsid w:val="004460BD"/>
    <w:rsid w:val="0045689E"/>
    <w:rsid w:val="004601A0"/>
    <w:rsid w:val="00461996"/>
    <w:rsid w:val="00467667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F2F1A"/>
    <w:rsid w:val="004F4877"/>
    <w:rsid w:val="004F6AB0"/>
    <w:rsid w:val="004F6E8A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356B"/>
    <w:rsid w:val="005927B2"/>
    <w:rsid w:val="00596523"/>
    <w:rsid w:val="005A0591"/>
    <w:rsid w:val="005A1BB4"/>
    <w:rsid w:val="005A4E32"/>
    <w:rsid w:val="005A53A1"/>
    <w:rsid w:val="005B337A"/>
    <w:rsid w:val="005C2C12"/>
    <w:rsid w:val="005D3434"/>
    <w:rsid w:val="005D6503"/>
    <w:rsid w:val="005E3381"/>
    <w:rsid w:val="005E46BD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55E5"/>
    <w:rsid w:val="006466A9"/>
    <w:rsid w:val="00650DCA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CC1"/>
    <w:rsid w:val="006F6A7E"/>
    <w:rsid w:val="00700A5C"/>
    <w:rsid w:val="00700F66"/>
    <w:rsid w:val="00701D7C"/>
    <w:rsid w:val="007074DB"/>
    <w:rsid w:val="00712277"/>
    <w:rsid w:val="00712511"/>
    <w:rsid w:val="007140BA"/>
    <w:rsid w:val="007201F3"/>
    <w:rsid w:val="00720E5A"/>
    <w:rsid w:val="00724B33"/>
    <w:rsid w:val="0072527B"/>
    <w:rsid w:val="00726F98"/>
    <w:rsid w:val="007365B8"/>
    <w:rsid w:val="007371DB"/>
    <w:rsid w:val="00741402"/>
    <w:rsid w:val="007419A8"/>
    <w:rsid w:val="007422DF"/>
    <w:rsid w:val="00750549"/>
    <w:rsid w:val="00751FD7"/>
    <w:rsid w:val="007562AB"/>
    <w:rsid w:val="0076257C"/>
    <w:rsid w:val="0076409F"/>
    <w:rsid w:val="00765850"/>
    <w:rsid w:val="00765CE8"/>
    <w:rsid w:val="00767D42"/>
    <w:rsid w:val="00773E1A"/>
    <w:rsid w:val="007747CD"/>
    <w:rsid w:val="0078093F"/>
    <w:rsid w:val="00782A27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832"/>
    <w:rsid w:val="00836D99"/>
    <w:rsid w:val="00846E12"/>
    <w:rsid w:val="00846FB3"/>
    <w:rsid w:val="0085360E"/>
    <w:rsid w:val="008611BC"/>
    <w:rsid w:val="00870EDF"/>
    <w:rsid w:val="008716BA"/>
    <w:rsid w:val="00890A6F"/>
    <w:rsid w:val="0089130B"/>
    <w:rsid w:val="008A3048"/>
    <w:rsid w:val="008C07D6"/>
    <w:rsid w:val="008D2996"/>
    <w:rsid w:val="008D5A18"/>
    <w:rsid w:val="008E269D"/>
    <w:rsid w:val="008F20D7"/>
    <w:rsid w:val="008F337F"/>
    <w:rsid w:val="009004A9"/>
    <w:rsid w:val="00904F8F"/>
    <w:rsid w:val="00911FFC"/>
    <w:rsid w:val="0091247F"/>
    <w:rsid w:val="0091636A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703E8"/>
    <w:rsid w:val="009705CC"/>
    <w:rsid w:val="00970FB0"/>
    <w:rsid w:val="00972701"/>
    <w:rsid w:val="0098589A"/>
    <w:rsid w:val="00996920"/>
    <w:rsid w:val="009972E6"/>
    <w:rsid w:val="009A233B"/>
    <w:rsid w:val="009A5039"/>
    <w:rsid w:val="009A7E7D"/>
    <w:rsid w:val="009B4598"/>
    <w:rsid w:val="009C2A8D"/>
    <w:rsid w:val="009C62C6"/>
    <w:rsid w:val="009C7AE2"/>
    <w:rsid w:val="009D0860"/>
    <w:rsid w:val="009D3E25"/>
    <w:rsid w:val="009D4A13"/>
    <w:rsid w:val="009F11D8"/>
    <w:rsid w:val="009F5C57"/>
    <w:rsid w:val="00A04172"/>
    <w:rsid w:val="00A06F1F"/>
    <w:rsid w:val="00A11876"/>
    <w:rsid w:val="00A15483"/>
    <w:rsid w:val="00A22018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39A1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20090"/>
    <w:rsid w:val="00B20269"/>
    <w:rsid w:val="00B2038A"/>
    <w:rsid w:val="00B23106"/>
    <w:rsid w:val="00B26460"/>
    <w:rsid w:val="00B6573F"/>
    <w:rsid w:val="00B65FD4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3B59"/>
    <w:rsid w:val="00BD5476"/>
    <w:rsid w:val="00BE5E8D"/>
    <w:rsid w:val="00BE6702"/>
    <w:rsid w:val="00BE7F31"/>
    <w:rsid w:val="00C0298F"/>
    <w:rsid w:val="00C02DAE"/>
    <w:rsid w:val="00C04121"/>
    <w:rsid w:val="00C06728"/>
    <w:rsid w:val="00C112B0"/>
    <w:rsid w:val="00C157A0"/>
    <w:rsid w:val="00C30117"/>
    <w:rsid w:val="00C33A01"/>
    <w:rsid w:val="00C346D1"/>
    <w:rsid w:val="00C405FB"/>
    <w:rsid w:val="00C4118A"/>
    <w:rsid w:val="00C416DB"/>
    <w:rsid w:val="00C43EF3"/>
    <w:rsid w:val="00C442EA"/>
    <w:rsid w:val="00C53CD8"/>
    <w:rsid w:val="00C5647F"/>
    <w:rsid w:val="00C5777A"/>
    <w:rsid w:val="00C67018"/>
    <w:rsid w:val="00C71BC1"/>
    <w:rsid w:val="00C753B5"/>
    <w:rsid w:val="00C938F7"/>
    <w:rsid w:val="00C941D1"/>
    <w:rsid w:val="00CB4291"/>
    <w:rsid w:val="00CB7167"/>
    <w:rsid w:val="00CC0841"/>
    <w:rsid w:val="00CC4637"/>
    <w:rsid w:val="00CC52F4"/>
    <w:rsid w:val="00CC7DD8"/>
    <w:rsid w:val="00CD0C94"/>
    <w:rsid w:val="00CD47AB"/>
    <w:rsid w:val="00CE16E5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20D17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CB6"/>
    <w:rsid w:val="00DA5273"/>
    <w:rsid w:val="00DB2B1B"/>
    <w:rsid w:val="00DB4A29"/>
    <w:rsid w:val="00DB6887"/>
    <w:rsid w:val="00DC2165"/>
    <w:rsid w:val="00DC3D72"/>
    <w:rsid w:val="00DC74D9"/>
    <w:rsid w:val="00DD382A"/>
    <w:rsid w:val="00DD48A6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D3E"/>
    <w:rsid w:val="00EF36E8"/>
    <w:rsid w:val="00EF56D8"/>
    <w:rsid w:val="00F0109B"/>
    <w:rsid w:val="00F025BB"/>
    <w:rsid w:val="00F06DCB"/>
    <w:rsid w:val="00F2216D"/>
    <w:rsid w:val="00F25B40"/>
    <w:rsid w:val="00F25EFD"/>
    <w:rsid w:val="00F274B8"/>
    <w:rsid w:val="00F311B8"/>
    <w:rsid w:val="00F31674"/>
    <w:rsid w:val="00F41507"/>
    <w:rsid w:val="00F4157A"/>
    <w:rsid w:val="00F452E9"/>
    <w:rsid w:val="00F5462F"/>
    <w:rsid w:val="00F56DD9"/>
    <w:rsid w:val="00F576A2"/>
    <w:rsid w:val="00F64045"/>
    <w:rsid w:val="00F73EF6"/>
    <w:rsid w:val="00F73F38"/>
    <w:rsid w:val="00F86B81"/>
    <w:rsid w:val="00F90151"/>
    <w:rsid w:val="00F9231E"/>
    <w:rsid w:val="00F95E99"/>
    <w:rsid w:val="00FA52AA"/>
    <w:rsid w:val="00FA76B7"/>
    <w:rsid w:val="00FB5F1A"/>
    <w:rsid w:val="00FB7A44"/>
    <w:rsid w:val="00FD28AD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8E65-EF8B-4128-8B9A-2A22A454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17804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RePack by SPecialiST</cp:lastModifiedBy>
  <cp:revision>24</cp:revision>
  <cp:lastPrinted>2022-10-31T08:57:00Z</cp:lastPrinted>
  <dcterms:created xsi:type="dcterms:W3CDTF">2022-06-29T12:44:00Z</dcterms:created>
  <dcterms:modified xsi:type="dcterms:W3CDTF">2022-10-31T08:57:00Z</dcterms:modified>
</cp:coreProperties>
</file>