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Приложение 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к постановлению администрации 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proofErr w:type="spellStart"/>
      <w:r w:rsidRPr="00153FEE">
        <w:rPr>
          <w:b w:val="0"/>
          <w:bCs w:val="0"/>
          <w:color w:val="000000"/>
          <w:sz w:val="20"/>
          <w:szCs w:val="20"/>
        </w:rPr>
        <w:t>Устьянского</w:t>
      </w:r>
      <w:proofErr w:type="spellEnd"/>
      <w:r w:rsidRPr="00153FEE">
        <w:rPr>
          <w:b w:val="0"/>
          <w:bCs w:val="0"/>
          <w:color w:val="000000"/>
          <w:sz w:val="20"/>
          <w:szCs w:val="20"/>
        </w:rPr>
        <w:t xml:space="preserve"> муниципального округа</w:t>
      </w:r>
    </w:p>
    <w:p w:rsidR="00D12D15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153FEE">
        <w:rPr>
          <w:b w:val="0"/>
          <w:bCs w:val="0"/>
          <w:color w:val="000000"/>
          <w:sz w:val="20"/>
          <w:szCs w:val="20"/>
        </w:rPr>
        <w:t xml:space="preserve"> Архангельской области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о</w:t>
      </w:r>
      <w:r w:rsidRPr="00153FEE">
        <w:rPr>
          <w:b w:val="0"/>
          <w:bCs w:val="0"/>
          <w:color w:val="000000"/>
          <w:sz w:val="20"/>
          <w:szCs w:val="20"/>
        </w:rPr>
        <w:t>т 31.05.2023 № 11</w:t>
      </w:r>
      <w:r w:rsidR="005B2C91">
        <w:rPr>
          <w:b w:val="0"/>
          <w:bCs w:val="0"/>
          <w:color w:val="000000"/>
          <w:sz w:val="20"/>
          <w:szCs w:val="20"/>
        </w:rPr>
        <w:t>47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 xml:space="preserve">«Развитие культуры </w:t>
      </w:r>
      <w:proofErr w:type="spellStart"/>
      <w:r w:rsidRPr="00184A45">
        <w:rPr>
          <w:bCs w:val="0"/>
          <w:sz w:val="24"/>
        </w:rPr>
        <w:t>Устьянского</w:t>
      </w:r>
      <w:proofErr w:type="spellEnd"/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735"/>
      </w:tblGrid>
      <w:tr w:rsidR="00A15A02" w:rsidRPr="00AA6292" w:rsidTr="005B2C91">
        <w:trPr>
          <w:trHeight w:val="762"/>
        </w:trPr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 w:rsidRPr="00A15A02"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proofErr w:type="spellStart"/>
            <w:r w:rsidR="00FD1EA8">
              <w:rPr>
                <w:sz w:val="24"/>
              </w:rPr>
              <w:t>Устьянского</w:t>
            </w:r>
            <w:proofErr w:type="spellEnd"/>
            <w:r w:rsidR="00FD1EA8">
              <w:rPr>
                <w:sz w:val="24"/>
              </w:rPr>
              <w:t xml:space="preserve"> муниципального округа Архангельской области.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b/>
                <w:sz w:val="24"/>
              </w:rPr>
              <w:t>Устьянского</w:t>
            </w:r>
            <w:proofErr w:type="spellEnd"/>
            <w:r w:rsidRPr="00184A45">
              <w:rPr>
                <w:b/>
                <w:sz w:val="24"/>
              </w:rPr>
              <w:t xml:space="preserve"> </w:t>
            </w:r>
            <w:r w:rsidR="00661D12">
              <w:rPr>
                <w:b/>
                <w:sz w:val="24"/>
              </w:rPr>
              <w:t>муниципального округа</w:t>
            </w:r>
            <w:r w:rsidRPr="00184A45">
              <w:rPr>
                <w:b/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</w:t>
            </w:r>
            <w:r w:rsidRPr="00184A45">
              <w:rPr>
                <w:b w:val="0"/>
                <w:bCs w:val="0"/>
                <w:sz w:val="24"/>
              </w:rPr>
              <w:lastRenderedPageBreak/>
              <w:t>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proofErr w:type="spellStart"/>
            <w:r w:rsidR="00184909">
              <w:rPr>
                <w:bCs/>
                <w:sz w:val="24"/>
              </w:rPr>
              <w:t>Устьянского</w:t>
            </w:r>
            <w:proofErr w:type="spellEnd"/>
            <w:r w:rsidR="00184909">
              <w:rPr>
                <w:bCs/>
                <w:sz w:val="24"/>
              </w:rPr>
              <w:t xml:space="preserve"> муниципального округа Архангельской области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</w:t>
            </w:r>
            <w:proofErr w:type="spellStart"/>
            <w:r w:rsidRPr="00A15A02">
              <w:rPr>
                <w:rFonts w:ascii="Times New Roman" w:hAnsi="Times New Roman" w:cs="Times New Roman"/>
                <w:sz w:val="24"/>
              </w:rPr>
              <w:t>Устьянского</w:t>
            </w:r>
            <w:proofErr w:type="spellEnd"/>
            <w:r w:rsidRPr="00A15A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4909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  <w:r w:rsidRPr="00A15A02">
              <w:rPr>
                <w:rFonts w:ascii="Times New Roman" w:hAnsi="Times New Roman" w:cs="Times New Roman"/>
                <w:sz w:val="24"/>
              </w:rPr>
              <w:t xml:space="preserve"> в интересах граждан, общества и государства.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184A45">
              <w:rPr>
                <w:sz w:val="24"/>
              </w:rPr>
              <w:t>Устьянского</w:t>
            </w:r>
            <w:proofErr w:type="spellEnd"/>
            <w:r w:rsidRPr="00184A45">
              <w:rPr>
                <w:sz w:val="24"/>
              </w:rPr>
              <w:t xml:space="preserve"> </w:t>
            </w:r>
            <w:r w:rsidR="00184909"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18490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</w:t>
            </w:r>
            <w:r w:rsidR="00A15A02"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5</w:t>
            </w:r>
            <w:r w:rsidR="00A15A02"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5B2C91">
        <w:tc>
          <w:tcPr>
            <w:tcW w:w="2330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6E2207" w:rsidRPr="009F3911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6E2207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6E2207" w:rsidRPr="00456CF9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71 735 580,17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31 677 101,66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6E2207" w:rsidRPr="00BC4B64" w:rsidRDefault="006E2207" w:rsidP="006E2207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50 339 360,29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1 0</w:t>
            </w:r>
            <w:r w:rsidR="007E1F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819 118,22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6E2207" w:rsidP="006E2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0 000,00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</w:t>
      </w:r>
      <w:r w:rsidR="001E5FA9">
        <w:rPr>
          <w:sz w:val="24"/>
        </w:rPr>
        <w:t>5</w:t>
      </w:r>
      <w:r w:rsidRPr="00184A45">
        <w:rPr>
          <w:sz w:val="24"/>
        </w:rPr>
        <w:t xml:space="preserve">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>политики на 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 </w:t>
      </w:r>
      <w:r w:rsidRPr="00184A45">
        <w:rPr>
          <w:sz w:val="24"/>
        </w:rPr>
        <w:t xml:space="preserve"> «Развитие культуры 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разработана в целях комплексного решения проблем сохранения и развития культурного потенциала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</w:t>
      </w:r>
      <w:r w:rsidRPr="00184A45">
        <w:rPr>
          <w:sz w:val="24"/>
        </w:rPr>
        <w:t xml:space="preserve">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proofErr w:type="spellStart"/>
      <w:r w:rsidR="001E5FA9">
        <w:rPr>
          <w:sz w:val="24"/>
        </w:rPr>
        <w:t>Устьянского</w:t>
      </w:r>
      <w:proofErr w:type="spellEnd"/>
      <w:r w:rsidR="001E5FA9">
        <w:rPr>
          <w:sz w:val="24"/>
        </w:rPr>
        <w:t xml:space="preserve">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 xml:space="preserve">Сфера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 района представляет сеть учреждений:  шесть районных учреждений культуры – МБУК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межпоселенческая</w:t>
      </w:r>
      <w:proofErr w:type="spellEnd"/>
      <w:r w:rsidRPr="00184A45">
        <w:rPr>
          <w:sz w:val="24"/>
        </w:rPr>
        <w:t xml:space="preserve">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</w:t>
      </w:r>
      <w:proofErr w:type="spellStart"/>
      <w:r w:rsidRPr="00184A45">
        <w:rPr>
          <w:sz w:val="24"/>
        </w:rPr>
        <w:t>Устьянская</w:t>
      </w:r>
      <w:proofErr w:type="spellEnd"/>
      <w:r w:rsidRPr="00184A45">
        <w:rPr>
          <w:sz w:val="24"/>
        </w:rPr>
        <w:t xml:space="preserve"> детская школа искусств», МБУ ДО ДШИ «Радуга», МБУК «</w:t>
      </w:r>
      <w:proofErr w:type="spellStart"/>
      <w:r w:rsidRPr="00184A45">
        <w:rPr>
          <w:sz w:val="24"/>
        </w:rPr>
        <w:t>Устьяны</w:t>
      </w:r>
      <w:proofErr w:type="spellEnd"/>
      <w:r w:rsidRPr="00184A45">
        <w:rPr>
          <w:sz w:val="24"/>
        </w:rPr>
        <w:t>" и МАУ "</w:t>
      </w:r>
      <w:proofErr w:type="spellStart"/>
      <w:r w:rsidRPr="00184A45">
        <w:rPr>
          <w:sz w:val="24"/>
        </w:rPr>
        <w:t>Беоезницкий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lastRenderedPageBreak/>
        <w:t xml:space="preserve">              Немаловажным направлением развития культуры </w:t>
      </w:r>
      <w:proofErr w:type="spellStart"/>
      <w:r w:rsidRPr="00184A45">
        <w:t>Устьянского</w:t>
      </w:r>
      <w:proofErr w:type="spellEnd"/>
      <w:r w:rsidRPr="00184A45">
        <w:t xml:space="preserve">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населения. Районная библиотечная система объединяет 32 библиотеки, в т.ч. </w:t>
      </w:r>
      <w:proofErr w:type="spellStart"/>
      <w:r w:rsidRPr="00184A45">
        <w:t>Устьянская</w:t>
      </w:r>
      <w:proofErr w:type="spellEnd"/>
      <w:r w:rsidRPr="00184A45">
        <w:t xml:space="preserve"> </w:t>
      </w:r>
      <w:proofErr w:type="spellStart"/>
      <w:r w:rsidRPr="00184A45">
        <w:t>межпоселенческая</w:t>
      </w:r>
      <w:proofErr w:type="spellEnd"/>
      <w:r w:rsidRPr="00184A45">
        <w:t xml:space="preserve"> центральная районная библиотека и детская библиотека (районного уровня) , 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</w:t>
      </w:r>
      <w:proofErr w:type="spellStart"/>
      <w:r w:rsidRPr="00184A45">
        <w:t>Устьянская</w:t>
      </w:r>
      <w:proofErr w:type="spellEnd"/>
      <w:r w:rsidRPr="00184A45">
        <w:t xml:space="preserve">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>ого библиотекаря» занял 1 место в  VI областном конкурсе 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включает 16 881 единицы хранения. За 2019 год специалистами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Анализ ситуации в сфере культуры позволяет выявить ряд проблем, которые в </w:t>
      </w:r>
      <w:r w:rsidRPr="00184A45">
        <w:rPr>
          <w:sz w:val="24"/>
        </w:rPr>
        <w:lastRenderedPageBreak/>
        <w:t>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Также существует проблема комплектования, хранения, учета и использования документов </w:t>
      </w:r>
      <w:proofErr w:type="spellStart"/>
      <w:r w:rsidRPr="00184A45">
        <w:rPr>
          <w:sz w:val="24"/>
          <w:szCs w:val="24"/>
        </w:rPr>
        <w:t>Устьянского</w:t>
      </w:r>
      <w:proofErr w:type="spellEnd"/>
      <w:r w:rsidRPr="00184A45">
        <w:rPr>
          <w:sz w:val="24"/>
          <w:szCs w:val="24"/>
        </w:rPr>
        <w:t xml:space="preserve">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 xml:space="preserve">обеспечение хранения, комплектования, учета и использования архивных документов и архивных фондов на территории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</w:t>
      </w:r>
      <w:proofErr w:type="spellStart"/>
      <w:r w:rsidRPr="00184A45">
        <w:rPr>
          <w:sz w:val="24"/>
        </w:rPr>
        <w:t>Устьянского</w:t>
      </w:r>
      <w:proofErr w:type="spellEnd"/>
      <w:r w:rsidRPr="00184A45">
        <w:rPr>
          <w:sz w:val="24"/>
        </w:rPr>
        <w:t xml:space="preserve">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 w:rsidR="001E5FA9">
        <w:rPr>
          <w:rFonts w:ascii="Times New Roman" w:hAnsi="Times New Roman" w:cs="Times New Roman"/>
          <w:sz w:val="24"/>
          <w:szCs w:val="24"/>
        </w:rPr>
        <w:t>мотрена на период с 2020 по 2025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7E1F45" w:rsidRPr="000624C9" w:rsidRDefault="007E1F45" w:rsidP="007E1F45">
      <w:pPr>
        <w:rPr>
          <w:bCs/>
          <w:color w:val="000000" w:themeColor="text1"/>
          <w:sz w:val="24"/>
        </w:rPr>
      </w:pPr>
      <w:r w:rsidRPr="000624C9">
        <w:rPr>
          <w:sz w:val="24"/>
        </w:rPr>
        <w:t>Общий объем финансирования Программы  составляет   рублей, в том числе:</w:t>
      </w:r>
      <w:r>
        <w:rPr>
          <w:sz w:val="24"/>
        </w:rPr>
        <w:t xml:space="preserve"> </w:t>
      </w:r>
      <w:r w:rsidRPr="000624C9">
        <w:rPr>
          <w:bCs/>
          <w:color w:val="000000" w:themeColor="text1"/>
          <w:sz w:val="24"/>
        </w:rPr>
        <w:t>1</w:t>
      </w:r>
      <w:r w:rsidR="006D75E7">
        <w:rPr>
          <w:bCs/>
          <w:color w:val="000000" w:themeColor="text1"/>
          <w:sz w:val="24"/>
        </w:rPr>
        <w:t> 171 735 580,17</w:t>
      </w:r>
      <w:r>
        <w:rPr>
          <w:bCs/>
          <w:color w:val="000000" w:themeColor="text1"/>
          <w:sz w:val="24"/>
        </w:rPr>
        <w:t xml:space="preserve"> рублей.</w:t>
      </w:r>
    </w:p>
    <w:p w:rsidR="007E1F45" w:rsidRPr="000624C9" w:rsidRDefault="007E1F45" w:rsidP="007E1F45">
      <w:pPr>
        <w:rPr>
          <w:sz w:val="24"/>
        </w:rPr>
      </w:pPr>
      <w:r w:rsidRPr="000624C9">
        <w:rPr>
          <w:sz w:val="24"/>
        </w:rPr>
        <w:t xml:space="preserve">средства федерального бюджета – </w:t>
      </w:r>
      <w:r w:rsidR="006D75E7">
        <w:rPr>
          <w:bCs/>
          <w:color w:val="000000" w:themeColor="text1"/>
          <w:sz w:val="24"/>
        </w:rPr>
        <w:t>31 677 101,66</w:t>
      </w:r>
      <w:r w:rsidRPr="000624C9">
        <w:rPr>
          <w:bCs/>
          <w:color w:val="000000" w:themeColor="text1"/>
          <w:sz w:val="24"/>
        </w:rPr>
        <w:t xml:space="preserve"> </w:t>
      </w:r>
      <w:r w:rsidRPr="000624C9">
        <w:rPr>
          <w:sz w:val="24"/>
        </w:rPr>
        <w:t xml:space="preserve">рублей;                  </w:t>
      </w:r>
    </w:p>
    <w:p w:rsidR="007E1F45" w:rsidRPr="000624C9" w:rsidRDefault="007E1F45" w:rsidP="007E1F45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24C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6D7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50 339 360,29</w:t>
      </w:r>
      <w:r w:rsidRPr="00062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24C9">
        <w:rPr>
          <w:rFonts w:ascii="Times New Roman" w:hAnsi="Times New Roman" w:cs="Times New Roman"/>
          <w:sz w:val="24"/>
          <w:szCs w:val="24"/>
        </w:rPr>
        <w:t>рублей;</w:t>
      </w:r>
      <w:r w:rsidRPr="000624C9">
        <w:rPr>
          <w:rFonts w:ascii="Times New Roman" w:hAnsi="Times New Roman" w:cs="Times New Roman"/>
          <w:sz w:val="24"/>
          <w:szCs w:val="24"/>
        </w:rPr>
        <w:tab/>
      </w:r>
    </w:p>
    <w:p w:rsidR="007E1F45" w:rsidRPr="000624C9" w:rsidRDefault="007E1F45" w:rsidP="007E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4C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Pr="00062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1 088</w:t>
      </w:r>
      <w:r w:rsidR="006D7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819 118,22</w:t>
      </w:r>
      <w:r w:rsidRPr="00062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24C9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624C9">
        <w:rPr>
          <w:rFonts w:ascii="Times New Roman" w:hAnsi="Times New Roman" w:cs="Times New Roman"/>
          <w:sz w:val="24"/>
          <w:szCs w:val="24"/>
        </w:rPr>
        <w:t>;</w:t>
      </w:r>
    </w:p>
    <w:p w:rsidR="007E1F45" w:rsidRDefault="007E1F45" w:rsidP="007E1F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>
        <w:rPr>
          <w:rFonts w:ascii="Times New Roman" w:hAnsi="Times New Roman" w:cs="Times New Roman"/>
          <w:bCs/>
          <w:sz w:val="24"/>
          <w:szCs w:val="24"/>
        </w:rPr>
        <w:t>900 000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1E5FA9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418"/>
        <w:gridCol w:w="1417"/>
        <w:gridCol w:w="1418"/>
        <w:gridCol w:w="1559"/>
        <w:gridCol w:w="1418"/>
        <w:gridCol w:w="1417"/>
      </w:tblGrid>
      <w:tr w:rsidR="00FD1EA8" w:rsidRPr="00184A45" w:rsidTr="006E2207">
        <w:trPr>
          <w:trHeight w:val="549"/>
        </w:trPr>
        <w:tc>
          <w:tcPr>
            <w:tcW w:w="1134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701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</w:tr>
      <w:tr w:rsidR="0087329C" w:rsidRPr="00184A45" w:rsidTr="006D75E7">
        <w:trPr>
          <w:trHeight w:val="875"/>
        </w:trPr>
        <w:tc>
          <w:tcPr>
            <w:tcW w:w="1134" w:type="dxa"/>
            <w:vAlign w:val="center"/>
          </w:tcPr>
          <w:p w:rsidR="0087329C" w:rsidRPr="00184A45" w:rsidRDefault="0087329C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701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1 1</w:t>
            </w:r>
            <w:r>
              <w:rPr>
                <w:bCs/>
                <w:color w:val="000000" w:themeColor="text1"/>
                <w:sz w:val="18"/>
                <w:szCs w:val="18"/>
              </w:rPr>
              <w:t>71</w:t>
            </w:r>
            <w:r w:rsidRPr="00EA31C1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735</w:t>
            </w:r>
            <w:r w:rsidRPr="00EA31C1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580,17</w:t>
            </w: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146 924 003,22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165 568 025,97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189  347 811,07</w:t>
            </w:r>
          </w:p>
        </w:tc>
        <w:tc>
          <w:tcPr>
            <w:tcW w:w="1559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23</w:t>
            </w:r>
            <w:r>
              <w:rPr>
                <w:bCs/>
                <w:color w:val="000000" w:themeColor="text1"/>
                <w:sz w:val="18"/>
                <w:szCs w:val="18"/>
              </w:rPr>
              <w:t>7 446 553,87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</w:t>
            </w:r>
            <w:r>
              <w:rPr>
                <w:bCs/>
                <w:sz w:val="18"/>
                <w:szCs w:val="18"/>
              </w:rPr>
              <w:t> 889 149,49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217</w:t>
            </w:r>
            <w:r>
              <w:rPr>
                <w:bCs/>
                <w:sz w:val="18"/>
                <w:szCs w:val="18"/>
              </w:rPr>
              <w:t> 560 036,55</w:t>
            </w:r>
          </w:p>
        </w:tc>
      </w:tr>
      <w:tr w:rsidR="0087329C" w:rsidRPr="00184A45" w:rsidTr="008A0328">
        <w:trPr>
          <w:trHeight w:val="431"/>
        </w:trPr>
        <w:tc>
          <w:tcPr>
            <w:tcW w:w="1134" w:type="dxa"/>
            <w:vAlign w:val="center"/>
          </w:tcPr>
          <w:p w:rsidR="0087329C" w:rsidRPr="00184A45" w:rsidRDefault="0087329C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87329C" w:rsidRPr="00717D7B" w:rsidRDefault="0087329C" w:rsidP="00B5197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329C" w:rsidRPr="00184A45" w:rsidTr="006D75E7">
        <w:trPr>
          <w:trHeight w:val="445"/>
        </w:trPr>
        <w:tc>
          <w:tcPr>
            <w:tcW w:w="1134" w:type="dxa"/>
            <w:vAlign w:val="center"/>
          </w:tcPr>
          <w:p w:rsidR="0087329C" w:rsidRPr="00184A45" w:rsidRDefault="0087329C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87329C" w:rsidRPr="00717D7B" w:rsidRDefault="0087329C" w:rsidP="00B5197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31 677 101,66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7D7B">
              <w:rPr>
                <w:bCs/>
                <w:color w:val="000000" w:themeColor="text1"/>
                <w:sz w:val="18"/>
                <w:szCs w:val="18"/>
              </w:rPr>
              <w:t>13 383 343,97</w:t>
            </w:r>
          </w:p>
        </w:tc>
        <w:tc>
          <w:tcPr>
            <w:tcW w:w="1559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7 651 461,44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359 641,91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356 060,95</w:t>
            </w:r>
          </w:p>
        </w:tc>
      </w:tr>
      <w:tr w:rsidR="0087329C" w:rsidRPr="00184A45" w:rsidTr="006D75E7">
        <w:trPr>
          <w:trHeight w:val="431"/>
        </w:trPr>
        <w:tc>
          <w:tcPr>
            <w:tcW w:w="1134" w:type="dxa"/>
            <w:vAlign w:val="center"/>
          </w:tcPr>
          <w:p w:rsidR="0087329C" w:rsidRPr="00184A45" w:rsidRDefault="0087329C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50 339 360,29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8 014 960,88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21 590 914,51</w:t>
            </w:r>
          </w:p>
        </w:tc>
        <w:tc>
          <w:tcPr>
            <w:tcW w:w="1559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13 008 419,76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148 803,73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152 851,05</w:t>
            </w:r>
          </w:p>
        </w:tc>
      </w:tr>
      <w:tr w:rsidR="0087329C" w:rsidRPr="00184A45" w:rsidTr="006D75E7">
        <w:trPr>
          <w:trHeight w:val="445"/>
        </w:trPr>
        <w:tc>
          <w:tcPr>
            <w:tcW w:w="1134" w:type="dxa"/>
            <w:vAlign w:val="center"/>
          </w:tcPr>
          <w:p w:rsidR="0087329C" w:rsidRPr="00184A45" w:rsidRDefault="0087329C" w:rsidP="004768F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Местный б</w:t>
            </w:r>
            <w:r w:rsidRPr="00184A45">
              <w:rPr>
                <w:b w:val="0"/>
                <w:bCs w:val="0"/>
                <w:sz w:val="20"/>
                <w:szCs w:val="20"/>
              </w:rPr>
              <w:t>юджет</w:t>
            </w:r>
          </w:p>
        </w:tc>
        <w:tc>
          <w:tcPr>
            <w:tcW w:w="1701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1D2D05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D2D05">
              <w:rPr>
                <w:bCs/>
                <w:color w:val="000000" w:themeColor="text1"/>
                <w:sz w:val="18"/>
                <w:szCs w:val="18"/>
              </w:rPr>
              <w:t>1 088 819 118,22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138 559 042,34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154 223 552,59</w:t>
            </w:r>
          </w:p>
          <w:p w:rsidR="0087329C" w:rsidRPr="00717D7B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216 636 672,67</w:t>
            </w:r>
          </w:p>
        </w:tc>
        <w:tc>
          <w:tcPr>
            <w:tcW w:w="1418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417" w:type="dxa"/>
          </w:tcPr>
          <w:p w:rsidR="0087329C" w:rsidRDefault="0087329C" w:rsidP="00B5197E">
            <w:pPr>
              <w:jc w:val="center"/>
              <w:rPr>
                <w:bCs/>
                <w:sz w:val="18"/>
                <w:szCs w:val="18"/>
              </w:rPr>
            </w:pPr>
          </w:p>
          <w:p w:rsidR="0087329C" w:rsidRPr="00717D7B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216 901 124,55</w:t>
            </w:r>
          </w:p>
        </w:tc>
      </w:tr>
      <w:tr w:rsidR="0087329C" w:rsidRPr="00184A45" w:rsidTr="006E2207">
        <w:trPr>
          <w:trHeight w:val="659"/>
        </w:trPr>
        <w:tc>
          <w:tcPr>
            <w:tcW w:w="1134" w:type="dxa"/>
            <w:vAlign w:val="center"/>
          </w:tcPr>
          <w:p w:rsidR="0087329C" w:rsidRPr="00184A45" w:rsidRDefault="0087329C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87329C" w:rsidRPr="00717D7B" w:rsidRDefault="0087329C" w:rsidP="00B5197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1418" w:type="dxa"/>
            <w:vAlign w:val="center"/>
          </w:tcPr>
          <w:p w:rsidR="0087329C" w:rsidRPr="00216ACE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vAlign w:val="center"/>
          </w:tcPr>
          <w:p w:rsidR="0087329C" w:rsidRPr="00216ACE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vAlign w:val="center"/>
          </w:tcPr>
          <w:p w:rsidR="0087329C" w:rsidRPr="00216ACE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vAlign w:val="center"/>
          </w:tcPr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7329C" w:rsidRPr="00EA31C1" w:rsidRDefault="0087329C" w:rsidP="00B5197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87329C" w:rsidRPr="008A0328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vAlign w:val="center"/>
          </w:tcPr>
          <w:p w:rsidR="0087329C" w:rsidRPr="008A0328" w:rsidRDefault="0087329C" w:rsidP="00B5197E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ind w:firstLine="540"/>
        <w:jc w:val="both"/>
        <w:outlineLvl w:val="1"/>
        <w:rPr>
          <w:sz w:val="24"/>
        </w:rPr>
      </w:pPr>
    </w:p>
    <w:p w:rsidR="00FD1EA8" w:rsidRDefault="00FD1EA8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О национальных целях и стратегических задачах развития Российской Федерации на период до 2024 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>,</w:t>
      </w:r>
      <w:r w:rsidRPr="00184A45">
        <w:rPr>
          <w:rFonts w:ascii="Times New Roman" w:hAnsi="Times New Roman"/>
          <w:b w:val="0"/>
          <w:sz w:val="24"/>
          <w:szCs w:val="24"/>
        </w:rPr>
        <w:br/>
      </w:r>
      <w:r w:rsidRPr="00184A45">
        <w:rPr>
          <w:rFonts w:ascii="Times New Roman" w:hAnsi="Times New Roman"/>
          <w:b w:val="0"/>
          <w:sz w:val="24"/>
          <w:szCs w:val="24"/>
        </w:rPr>
        <w:lastRenderedPageBreak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государственной программой Российской Федерации «Развитие культуры и туризма» на 2013 </w:t>
      </w:r>
      <w:r w:rsidR="004768F7">
        <w:rPr>
          <w:rFonts w:ascii="Times New Roman" w:hAnsi="Times New Roman"/>
          <w:b w:val="0"/>
          <w:sz w:val="24"/>
          <w:szCs w:val="24"/>
        </w:rPr>
        <w:t>–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proofErr w:type="spellStart"/>
      <w:r w:rsidR="00FD1EA8">
        <w:rPr>
          <w:bCs/>
          <w:sz w:val="24"/>
        </w:rPr>
        <w:t>Устьянского</w:t>
      </w:r>
      <w:proofErr w:type="spellEnd"/>
      <w:r w:rsidR="00FD1EA8">
        <w:rPr>
          <w:bCs/>
          <w:sz w:val="24"/>
        </w:rPr>
        <w:t xml:space="preserve">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</w:t>
      </w:r>
      <w:proofErr w:type="spellStart"/>
      <w:r w:rsidR="00FD1EA8">
        <w:t>Устьянского</w:t>
      </w:r>
      <w:proofErr w:type="spellEnd"/>
      <w:r w:rsidR="00FD1EA8">
        <w:t xml:space="preserve"> муниципального округа</w:t>
      </w:r>
      <w:r w:rsidRPr="00184A45">
        <w:t>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lastRenderedPageBreak/>
        <w:t xml:space="preserve">-Увеличение посещаемости музейных мероприятий к 2024 году </w:t>
      </w:r>
      <w:r w:rsidR="004768F7">
        <w:rPr>
          <w:bCs/>
          <w:sz w:val="24"/>
        </w:rPr>
        <w:t>–</w:t>
      </w:r>
      <w:r w:rsidRPr="00184A45">
        <w:rPr>
          <w:bCs/>
          <w:sz w:val="24"/>
        </w:rPr>
        <w:t xml:space="preserve">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участников клубных формирований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национальной стратегии действий в интересах детей на 2012-2017 годы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 xml:space="preserve"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мероприятиях по реализации государственной социальной политики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4768F7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98"/>
        <w:gridCol w:w="133"/>
        <w:gridCol w:w="1064"/>
        <w:gridCol w:w="1465"/>
        <w:gridCol w:w="932"/>
        <w:gridCol w:w="1064"/>
        <w:gridCol w:w="1064"/>
        <w:gridCol w:w="36"/>
        <w:gridCol w:w="1134"/>
        <w:gridCol w:w="28"/>
        <w:gridCol w:w="1212"/>
        <w:gridCol w:w="36"/>
        <w:gridCol w:w="1134"/>
        <w:gridCol w:w="27"/>
        <w:gridCol w:w="1080"/>
        <w:gridCol w:w="1064"/>
        <w:gridCol w:w="1064"/>
        <w:gridCol w:w="2264"/>
      </w:tblGrid>
      <w:tr w:rsidR="00D129B9" w:rsidRPr="00B62E40" w:rsidTr="00D129B9">
        <w:trPr>
          <w:trHeight w:val="781"/>
        </w:trPr>
        <w:tc>
          <w:tcPr>
            <w:tcW w:w="532" w:type="dxa"/>
            <w:vMerge w:val="restart"/>
            <w:shd w:val="clear" w:color="auto" w:fill="auto"/>
          </w:tcPr>
          <w:p w:rsidR="00D129B9" w:rsidRPr="00B62E40" w:rsidRDefault="00D129B9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  <w:gridSpan w:val="4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815" w:type="dxa"/>
            <w:gridSpan w:val="10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FD1EA8" w:rsidRPr="00B62E40" w:rsidTr="00D129B9">
        <w:trPr>
          <w:trHeight w:val="1067"/>
        </w:trPr>
        <w:tc>
          <w:tcPr>
            <w:tcW w:w="532" w:type="dxa"/>
            <w:vMerge/>
            <w:shd w:val="clear" w:color="auto" w:fill="auto"/>
          </w:tcPr>
          <w:p w:rsidR="00FD1EA8" w:rsidRPr="00B62E40" w:rsidRDefault="00FD1EA8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2020год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FD1EA8" w:rsidRPr="00D129B9" w:rsidRDefault="00FD1EA8" w:rsidP="00D129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496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FD1EA8" w:rsidRPr="00B62E40" w:rsidTr="00D129B9">
        <w:trPr>
          <w:trHeight w:val="255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  <w:vAlign w:val="center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139130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7F1EC0" w:rsidRDefault="007F1EC0" w:rsidP="007F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262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255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FD1EA8" w:rsidRPr="00B62E40" w:rsidTr="00D129B9">
        <w:trPr>
          <w:trHeight w:val="1518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7F1EC0">
            <w:pPr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Международной федерации библиотечных ассоциаций и учреждений</w:t>
            </w:r>
          </w:p>
        </w:tc>
      </w:tr>
      <w:tr w:rsidR="00FD1EA8" w:rsidRPr="00B62E40" w:rsidTr="00D129B9">
        <w:trPr>
          <w:trHeight w:val="496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FD1EA8" w:rsidRPr="00B62E40" w:rsidTr="007F1EC0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400</w:t>
            </w:r>
          </w:p>
        </w:tc>
        <w:tc>
          <w:tcPr>
            <w:tcW w:w="106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6" w:type="dxa"/>
            <w:gridSpan w:val="3"/>
          </w:tcPr>
          <w:p w:rsidR="00FD1EA8" w:rsidRPr="00C542D6" w:rsidRDefault="00FD1EA8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FD1EA8" w:rsidRPr="00B62E40" w:rsidRDefault="00FD1EA8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07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</w:tcPr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080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отчетность.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080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lastRenderedPageBreak/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4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4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Default="007F1EC0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7F1EC0" w:rsidRPr="006B35FE" w:rsidRDefault="007F1EC0" w:rsidP="00F84CFE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080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Default="00FD1EA8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FD1EA8" w:rsidRPr="0023357B" w:rsidRDefault="00FD1EA8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197" w:type="dxa"/>
            <w:gridSpan w:val="3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6B35FE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Количество учреждений культуры, дополнительного </w:t>
            </w:r>
            <w:r w:rsidRPr="00B62E40">
              <w:rPr>
                <w:bCs/>
                <w:sz w:val="22"/>
                <w:szCs w:val="22"/>
              </w:rPr>
              <w:lastRenderedPageBreak/>
              <w:t>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6D75E7" w:rsidRDefault="006D75E7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Форма 7НК,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60" w:type="dxa"/>
            <w:gridSpan w:val="4"/>
          </w:tcPr>
          <w:p w:rsidR="007F1EC0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Pr="006D75E7" w:rsidRDefault="002E7C8D" w:rsidP="00F84CFE">
            <w:pPr>
              <w:jc w:val="center"/>
              <w:rPr>
                <w:sz w:val="24"/>
              </w:rPr>
            </w:pPr>
            <w:r w:rsidRPr="006D75E7"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460" w:type="dxa"/>
            <w:gridSpan w:val="4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23357B" w:rsidRDefault="007F1EC0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№3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B62E40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B62E40">
              <w:rPr>
                <w:b/>
                <w:sz w:val="22"/>
                <w:szCs w:val="22"/>
              </w:rPr>
              <w:t xml:space="preserve"> района 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 w:rsidRPr="00084E31">
              <w:rPr>
                <w:bCs/>
                <w:sz w:val="22"/>
                <w:szCs w:val="22"/>
              </w:rPr>
              <w:lastRenderedPageBreak/>
              <w:t>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804369">
        <w:trPr>
          <w:trHeight w:val="928"/>
        </w:trPr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proofErr w:type="spellStart"/>
            <w:r w:rsidR="0006462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064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</w:t>
            </w:r>
            <w:proofErr w:type="spellStart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6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8D" w:rsidRDefault="00E4288D">
      <w:r>
        <w:separator/>
      </w:r>
    </w:p>
  </w:endnote>
  <w:endnote w:type="continuationSeparator" w:id="0">
    <w:p w:rsidR="00E4288D" w:rsidRDefault="00E4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8D" w:rsidRDefault="00E4288D">
      <w:r>
        <w:separator/>
      </w:r>
    </w:p>
  </w:footnote>
  <w:footnote w:type="continuationSeparator" w:id="0">
    <w:p w:rsidR="00E4288D" w:rsidRDefault="00E42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44A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560B"/>
    <w:rsid w:val="0005322C"/>
    <w:rsid w:val="000552CE"/>
    <w:rsid w:val="00056E8C"/>
    <w:rsid w:val="00063BFF"/>
    <w:rsid w:val="0006462F"/>
    <w:rsid w:val="0006693B"/>
    <w:rsid w:val="00072DA3"/>
    <w:rsid w:val="0007458C"/>
    <w:rsid w:val="00075F99"/>
    <w:rsid w:val="00081E6D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8D6"/>
    <w:rsid w:val="000C09D8"/>
    <w:rsid w:val="000C18D1"/>
    <w:rsid w:val="000C39A8"/>
    <w:rsid w:val="000D2AC6"/>
    <w:rsid w:val="000D41CD"/>
    <w:rsid w:val="000D6ABF"/>
    <w:rsid w:val="000E4B00"/>
    <w:rsid w:val="000E5A33"/>
    <w:rsid w:val="000E665F"/>
    <w:rsid w:val="000F392B"/>
    <w:rsid w:val="000F3F58"/>
    <w:rsid w:val="000F5DF2"/>
    <w:rsid w:val="0010280D"/>
    <w:rsid w:val="00102C78"/>
    <w:rsid w:val="00111D0D"/>
    <w:rsid w:val="001149E2"/>
    <w:rsid w:val="001162BE"/>
    <w:rsid w:val="00131549"/>
    <w:rsid w:val="001401C7"/>
    <w:rsid w:val="0014023E"/>
    <w:rsid w:val="00145F77"/>
    <w:rsid w:val="0014703B"/>
    <w:rsid w:val="0015266F"/>
    <w:rsid w:val="00153FEE"/>
    <w:rsid w:val="001572E0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245"/>
    <w:rsid w:val="00187667"/>
    <w:rsid w:val="0019043A"/>
    <w:rsid w:val="00193341"/>
    <w:rsid w:val="00196993"/>
    <w:rsid w:val="001B0C83"/>
    <w:rsid w:val="001C0586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D4D"/>
    <w:rsid w:val="002D6D42"/>
    <w:rsid w:val="002E0270"/>
    <w:rsid w:val="002E3402"/>
    <w:rsid w:val="002E7C8D"/>
    <w:rsid w:val="002F0DDE"/>
    <w:rsid w:val="002F2433"/>
    <w:rsid w:val="00303E40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77A5"/>
    <w:rsid w:val="00354F05"/>
    <w:rsid w:val="00357748"/>
    <w:rsid w:val="00360385"/>
    <w:rsid w:val="00361B12"/>
    <w:rsid w:val="003705EC"/>
    <w:rsid w:val="00370C44"/>
    <w:rsid w:val="00374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B79CD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768F7"/>
    <w:rsid w:val="00480CC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0BCE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34512"/>
    <w:rsid w:val="00540419"/>
    <w:rsid w:val="005422E4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B2C91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1D12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D75E7"/>
    <w:rsid w:val="006E2207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2371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2D04"/>
    <w:rsid w:val="0077389F"/>
    <w:rsid w:val="007803A0"/>
    <w:rsid w:val="00790ABF"/>
    <w:rsid w:val="00794B72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E1F45"/>
    <w:rsid w:val="007F1C40"/>
    <w:rsid w:val="007F1EA9"/>
    <w:rsid w:val="007F1EC0"/>
    <w:rsid w:val="00802239"/>
    <w:rsid w:val="00804369"/>
    <w:rsid w:val="008053C1"/>
    <w:rsid w:val="00806BFA"/>
    <w:rsid w:val="008070CB"/>
    <w:rsid w:val="00807C24"/>
    <w:rsid w:val="0081772F"/>
    <w:rsid w:val="00820935"/>
    <w:rsid w:val="00820B47"/>
    <w:rsid w:val="008300AF"/>
    <w:rsid w:val="00834D47"/>
    <w:rsid w:val="008374BD"/>
    <w:rsid w:val="008377CD"/>
    <w:rsid w:val="00841209"/>
    <w:rsid w:val="008451A4"/>
    <w:rsid w:val="00847E22"/>
    <w:rsid w:val="0085634E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7329C"/>
    <w:rsid w:val="00880676"/>
    <w:rsid w:val="00880741"/>
    <w:rsid w:val="00881C07"/>
    <w:rsid w:val="00886F04"/>
    <w:rsid w:val="00887F85"/>
    <w:rsid w:val="008916D9"/>
    <w:rsid w:val="008A0328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6CD"/>
    <w:rsid w:val="008B5957"/>
    <w:rsid w:val="008C051A"/>
    <w:rsid w:val="008C257B"/>
    <w:rsid w:val="008C3A7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655F"/>
    <w:rsid w:val="00964E4F"/>
    <w:rsid w:val="00974E15"/>
    <w:rsid w:val="00975FC7"/>
    <w:rsid w:val="009764F3"/>
    <w:rsid w:val="0097784F"/>
    <w:rsid w:val="009845D1"/>
    <w:rsid w:val="00993455"/>
    <w:rsid w:val="0099679D"/>
    <w:rsid w:val="009A35A1"/>
    <w:rsid w:val="009A65F5"/>
    <w:rsid w:val="009A6F2D"/>
    <w:rsid w:val="009B04CA"/>
    <w:rsid w:val="009B717F"/>
    <w:rsid w:val="009B7C93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A00812"/>
    <w:rsid w:val="00A010FE"/>
    <w:rsid w:val="00A07FD5"/>
    <w:rsid w:val="00A15A02"/>
    <w:rsid w:val="00A17F61"/>
    <w:rsid w:val="00A25914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131C"/>
    <w:rsid w:val="00A74BC3"/>
    <w:rsid w:val="00A75D74"/>
    <w:rsid w:val="00A8082B"/>
    <w:rsid w:val="00A814C1"/>
    <w:rsid w:val="00A85A7C"/>
    <w:rsid w:val="00A906EA"/>
    <w:rsid w:val="00A9109E"/>
    <w:rsid w:val="00A94CF1"/>
    <w:rsid w:val="00A9661F"/>
    <w:rsid w:val="00AA2D33"/>
    <w:rsid w:val="00AA6E64"/>
    <w:rsid w:val="00AB04AC"/>
    <w:rsid w:val="00AC4820"/>
    <w:rsid w:val="00AD056D"/>
    <w:rsid w:val="00AD0D57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64D8A"/>
    <w:rsid w:val="00B73D76"/>
    <w:rsid w:val="00B753F4"/>
    <w:rsid w:val="00B75E6B"/>
    <w:rsid w:val="00B8135B"/>
    <w:rsid w:val="00B81DCD"/>
    <w:rsid w:val="00B826CD"/>
    <w:rsid w:val="00B869FD"/>
    <w:rsid w:val="00B94B7E"/>
    <w:rsid w:val="00B97694"/>
    <w:rsid w:val="00B97EF7"/>
    <w:rsid w:val="00BA0A93"/>
    <w:rsid w:val="00BA34DA"/>
    <w:rsid w:val="00BA6716"/>
    <w:rsid w:val="00BB08DD"/>
    <w:rsid w:val="00BB6CCE"/>
    <w:rsid w:val="00BC4EB4"/>
    <w:rsid w:val="00BC55EE"/>
    <w:rsid w:val="00BD5A3C"/>
    <w:rsid w:val="00BD6849"/>
    <w:rsid w:val="00BD76B9"/>
    <w:rsid w:val="00BD7FC1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78BB"/>
    <w:rsid w:val="00C108E7"/>
    <w:rsid w:val="00C12416"/>
    <w:rsid w:val="00C222A4"/>
    <w:rsid w:val="00C24A29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84F85"/>
    <w:rsid w:val="00C91A92"/>
    <w:rsid w:val="00C929A7"/>
    <w:rsid w:val="00C93823"/>
    <w:rsid w:val="00C96E3C"/>
    <w:rsid w:val="00CA1F50"/>
    <w:rsid w:val="00CA1F72"/>
    <w:rsid w:val="00CA3846"/>
    <w:rsid w:val="00CA46A3"/>
    <w:rsid w:val="00CA4B9E"/>
    <w:rsid w:val="00CA7CE4"/>
    <w:rsid w:val="00CB276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D05996"/>
    <w:rsid w:val="00D129B9"/>
    <w:rsid w:val="00D12D15"/>
    <w:rsid w:val="00D14D15"/>
    <w:rsid w:val="00D15604"/>
    <w:rsid w:val="00D17E88"/>
    <w:rsid w:val="00D221E2"/>
    <w:rsid w:val="00D24ECF"/>
    <w:rsid w:val="00D308AC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4191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65D3"/>
    <w:rsid w:val="00DC58D1"/>
    <w:rsid w:val="00DD2846"/>
    <w:rsid w:val="00DD54E2"/>
    <w:rsid w:val="00DF4FD7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288D"/>
    <w:rsid w:val="00E459BA"/>
    <w:rsid w:val="00E46240"/>
    <w:rsid w:val="00E52E78"/>
    <w:rsid w:val="00E5360A"/>
    <w:rsid w:val="00E560A9"/>
    <w:rsid w:val="00E610B2"/>
    <w:rsid w:val="00E61EA8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6FE4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A8F"/>
    <w:rsid w:val="00F9762D"/>
    <w:rsid w:val="00FA18DF"/>
    <w:rsid w:val="00FA1A4D"/>
    <w:rsid w:val="00FA3FE8"/>
    <w:rsid w:val="00FA6FCC"/>
    <w:rsid w:val="00FB17F5"/>
    <w:rsid w:val="00FB27B3"/>
    <w:rsid w:val="00FC1187"/>
    <w:rsid w:val="00FC77DA"/>
    <w:rsid w:val="00FD1A95"/>
    <w:rsid w:val="00FD1C3C"/>
    <w:rsid w:val="00FD1EA8"/>
    <w:rsid w:val="00FD5278"/>
    <w:rsid w:val="00FD7975"/>
    <w:rsid w:val="00FE01AC"/>
    <w:rsid w:val="00FE3036"/>
    <w:rsid w:val="00FE3971"/>
    <w:rsid w:val="00FF1153"/>
    <w:rsid w:val="00FF42D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1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Bud_Tany</dc:creator>
  <cp:keywords/>
  <dc:description/>
  <cp:lastModifiedBy>RePack by SPecialiST</cp:lastModifiedBy>
  <cp:revision>30</cp:revision>
  <cp:lastPrinted>2023-08-01T06:46:00Z</cp:lastPrinted>
  <dcterms:created xsi:type="dcterms:W3CDTF">2015-12-04T13:03:00Z</dcterms:created>
  <dcterms:modified xsi:type="dcterms:W3CDTF">2023-08-01T06:46:00Z</dcterms:modified>
</cp:coreProperties>
</file>