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C3" w:rsidRPr="00D61FDC" w:rsidRDefault="002856C3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856C3" w:rsidRPr="00D61FDC" w:rsidRDefault="002856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Утвержден</w:t>
      </w:r>
    </w:p>
    <w:p w:rsidR="002856C3" w:rsidRPr="00D61FDC" w:rsidRDefault="002856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856C3" w:rsidRPr="00D61FDC" w:rsidRDefault="00B72296" w:rsidP="00B722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а</w:t>
      </w:r>
      <w:r w:rsidR="002856C3" w:rsidRPr="00D61FD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61FDC"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B72296" w:rsidRPr="00D61FDC" w:rsidRDefault="00D61FDC" w:rsidP="00B722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 от </w:t>
      </w:r>
      <w:r w:rsidR="00C57F8C">
        <w:rPr>
          <w:rFonts w:ascii="Times New Roman" w:hAnsi="Times New Roman" w:cs="Times New Roman"/>
          <w:sz w:val="26"/>
          <w:szCs w:val="26"/>
        </w:rPr>
        <w:t>1 но</w:t>
      </w:r>
      <w:r w:rsidRPr="00D61FDC">
        <w:rPr>
          <w:rFonts w:ascii="Times New Roman" w:hAnsi="Times New Roman" w:cs="Times New Roman"/>
          <w:sz w:val="26"/>
          <w:szCs w:val="26"/>
        </w:rPr>
        <w:t>ября</w:t>
      </w:r>
      <w:r w:rsidR="00B72296" w:rsidRPr="00D61FDC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C57F8C">
        <w:rPr>
          <w:rFonts w:ascii="Times New Roman" w:hAnsi="Times New Roman" w:cs="Times New Roman"/>
          <w:sz w:val="26"/>
          <w:szCs w:val="26"/>
        </w:rPr>
        <w:t>2575</w:t>
      </w:r>
    </w:p>
    <w:p w:rsidR="002856C3" w:rsidRPr="00D61FDC" w:rsidRDefault="002856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96" w:rsidRPr="00D61FDC" w:rsidRDefault="00B722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p w:rsidR="00CC2C59" w:rsidRPr="00D61FDC" w:rsidRDefault="00CC2C5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856C3" w:rsidRPr="00D61FDC" w:rsidRDefault="00B722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Порядок</w:t>
      </w:r>
    </w:p>
    <w:p w:rsidR="002856C3" w:rsidRPr="00D61FDC" w:rsidRDefault="00B722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выявления, учета бесхозяйного </w:t>
      </w:r>
      <w:r w:rsidR="00C70BF2" w:rsidRPr="00D61FDC">
        <w:rPr>
          <w:rFonts w:ascii="Times New Roman" w:hAnsi="Times New Roman" w:cs="Times New Roman"/>
          <w:sz w:val="26"/>
          <w:szCs w:val="26"/>
        </w:rPr>
        <w:t>имущества и регистраци</w:t>
      </w:r>
      <w:r w:rsidR="004C4D2E" w:rsidRPr="00D61FDC">
        <w:rPr>
          <w:rFonts w:ascii="Times New Roman" w:hAnsi="Times New Roman" w:cs="Times New Roman"/>
          <w:sz w:val="26"/>
          <w:szCs w:val="26"/>
        </w:rPr>
        <w:t>и</w:t>
      </w:r>
      <w:r w:rsidR="00C70BF2" w:rsidRPr="00D61FDC">
        <w:rPr>
          <w:rFonts w:ascii="Times New Roman" w:hAnsi="Times New Roman" w:cs="Times New Roman"/>
          <w:sz w:val="26"/>
          <w:szCs w:val="26"/>
        </w:rPr>
        <w:t xml:space="preserve"> права муниципальной собственности на бесхозяйное имущество, расположенное </w:t>
      </w:r>
    </w:p>
    <w:p w:rsidR="002856C3" w:rsidRPr="00D61FDC" w:rsidRDefault="00B72296" w:rsidP="002B58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B583E" w:rsidRPr="00D61FDC">
        <w:rPr>
          <w:rFonts w:ascii="Times New Roman" w:hAnsi="Times New Roman" w:cs="Times New Roman"/>
          <w:sz w:val="26"/>
          <w:szCs w:val="26"/>
        </w:rPr>
        <w:t>Устьянского муниципального округа Архангельской области</w:t>
      </w:r>
      <w:r w:rsidRPr="00D61F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6C3" w:rsidRPr="00D61FDC" w:rsidRDefault="002856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56C3" w:rsidRPr="00D61FDC" w:rsidRDefault="002856C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856C3" w:rsidRPr="00D61FDC" w:rsidRDefault="002856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2C59" w:rsidRPr="00C57F8C" w:rsidRDefault="00CC2C59" w:rsidP="00C57F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Настоящий Порядок разработан в целях упорядочения действий по выявлению и регистрации права муниципальной собственности на бесхозяйное имущество, расположенное на территории Устьянского муниципального округа Архангельской области.</w:t>
      </w:r>
    </w:p>
    <w:p w:rsidR="00CC2C59" w:rsidRPr="00C57F8C" w:rsidRDefault="00CC2C59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7F8C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Под бесхозяйными объектами (далее - объект) в целях данного порядка понимаются вещи, которые не имеют собственника или собственник которых неизвестен, либо, если иное не предусмотрено законами, от права </w:t>
      </w: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>собственности</w:t>
      </w:r>
      <w:proofErr w:type="gramEnd"/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на которые собственник отказался.</w:t>
      </w:r>
    </w:p>
    <w:p w:rsidR="00CC2C59" w:rsidRPr="00C57F8C" w:rsidRDefault="00CC2C59" w:rsidP="00C57F8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Оформлением права муниципальной собственности Устьянского муниципального округа Архангельской области в отношении бесхозяйного имущества и учет бесхозяйного имущества, а также обращение в суд для признания права муниципальной собственности на бесхозяйный объект, подготовку искового заявления и представление интересов округа в суде осуществляет </w:t>
      </w:r>
      <w:r w:rsidR="004C4D2E" w:rsidRPr="00C57F8C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>омитет по управлению муниципальным имуществом администрации Устьянского муниципального округа Архангельской области (далее - Комитет).</w:t>
      </w:r>
      <w:proofErr w:type="gramEnd"/>
    </w:p>
    <w:p w:rsidR="00CC2C59" w:rsidRPr="00C57F8C" w:rsidRDefault="00CC2C59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Приобретателем бесхозяйного недвижимого имущества (долей в праве собственности на данное имущество) является </w:t>
      </w:r>
      <w:r w:rsidR="00C11141"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Устьянский муниципальный округ Архангельской 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>области.</w:t>
      </w:r>
    </w:p>
    <w:p w:rsidR="002856C3" w:rsidRPr="00C57F8C" w:rsidRDefault="002856C3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2. Выявление бесхозяйных объектов недвижимого имущества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2.1</w:t>
      </w:r>
      <w:r w:rsidR="00C70BF2"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Сведения об объекте недвижимого имущества, имеющем признаки бесхозяйного, могут поступать </w:t>
      </w: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>от</w:t>
      </w:r>
      <w:proofErr w:type="gramEnd"/>
      <w:r w:rsidRPr="00C57F8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 исполнительных органов государственной власти Российской Федерации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, Архангельской области;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органов местного самоуправления;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отраслевых (функциональных) и территориальных органов администрации;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- муниципальных учреждений и предприятий;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  юридических и физических лиц;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="00C70BF2" w:rsidRPr="00C57F8C">
        <w:rPr>
          <w:rFonts w:ascii="Times New Roman" w:hAnsi="Times New Roman" w:cs="Times New Roman"/>
          <w:sz w:val="26"/>
          <w:szCs w:val="26"/>
          <w:lang w:val="ru-RU"/>
        </w:rPr>
        <w:t>в результате проведения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инвентаризации;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 из средств массовой информации, сети Интернет;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-иным способом.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2.2. После поступления в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Комитет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сведений о выявленном бесхозяйном объекте недвижимого имущества в срок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рабочих дней проводится осмотр объекта и составляется а</w:t>
      </w: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>кт с пр</w:t>
      </w:r>
      <w:proofErr w:type="gramEnd"/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иложением фотоматериалов (Приложение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1 к настоящему Порядку).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2.3. В целях выявления собственника бесхозяйного объекта Комитет в течение 10 рабочих дней после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составления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акта обследования выявленного бесхозяйного объекта предпринимает следующие меры: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направление запроса в Федеральную службу государственной регистрации, кадастра и картографии для получения выписки из Единого государственного реестра недвижимости на бесхозяйное недвижимое имущество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>направление запроса в государственные органы (организации), 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для получения документа, подтверждающего, что право собственности на бесхозяйное недвижимое имущество не было зарегистрировано указанными государственными органам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и (организациями);</w:t>
      </w:r>
      <w:proofErr w:type="gramEnd"/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направление запроса для получения сведений из реестра федерального имущества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направление запроса для получения сведений из реестра государственной собственности Архангельской области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опубликование информации в средствах массовой информации и размещение информации на </w:t>
      </w:r>
      <w:r w:rsidR="00C236F4"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официальных 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>сайтах в информационно-телекоммуникационной сети Интернет о выявленном бесхозяйном недвижимом имуществе и о розыске собственника указанного имущества.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2.4. В случае</w:t>
      </w:r>
      <w:proofErr w:type="gramStart"/>
      <w:r w:rsidRPr="00C57F8C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если собственник объекта не выявлен. Комитет в срок, не превышающий 60 дней со дня составления акта обследования выявленного бесхозяйного объекта, указанного в 2.2 настоящего Порядка, организует работу по заключению контракта на выполнение кадастровых работ в соответствии с действующим законодательством, формирует пакет документов, необходимый для постановки на учет бесхозяйных объектов недвижимого имущества в регистрирующем органе: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lastRenderedPageBreak/>
        <w:t>- технический план и (или) кадастровый паспорт объекта;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 справку из органа технической инвентаризации о принадлежности объекта;</w:t>
      </w:r>
    </w:p>
    <w:p w:rsidR="0098774C" w:rsidRPr="00C57F8C" w:rsidRDefault="0098774C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- выписки из реестров соответственно федерального имущества, имущества Архангельской области, муниципального имущества в отношении объекта;</w:t>
      </w:r>
    </w:p>
    <w:p w:rsidR="00AC020B" w:rsidRPr="00D61FDC" w:rsidRDefault="0098774C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FDC">
        <w:rPr>
          <w:rFonts w:ascii="Times New Roman" w:hAnsi="Times New Roman" w:cs="Times New Roman"/>
          <w:sz w:val="26"/>
          <w:szCs w:val="26"/>
        </w:rPr>
        <w:t xml:space="preserve">- </w:t>
      </w:r>
      <w:r w:rsidR="00AC020B" w:rsidRPr="00D61FDC">
        <w:rPr>
          <w:rFonts w:ascii="Times New Roman" w:hAnsi="Times New Roman" w:cs="Times New Roman"/>
          <w:sz w:val="26"/>
          <w:szCs w:val="26"/>
        </w:rPr>
        <w:t>выписку из единого реестра недвижимости на недвижимое имущество и сделок с ним в отношении объекта и документы,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</w:t>
      </w:r>
      <w:r w:rsidR="00AC020B" w:rsidRPr="00D61FDC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AC020B" w:rsidRPr="00D61FDC">
        <w:rPr>
          <w:rFonts w:ascii="Times New Roman" w:hAnsi="Times New Roman" w:cs="Times New Roman"/>
          <w:sz w:val="26"/>
          <w:szCs w:val="26"/>
        </w:rPr>
        <w:t>122-ФЗ «О государственной регистрации прав на недвижимое имущество и сделок с ним» и до начала</w:t>
      </w:r>
      <w:proofErr w:type="gramEnd"/>
      <w:r w:rsidR="00AC020B" w:rsidRPr="00D61FDC">
        <w:rPr>
          <w:rFonts w:ascii="Times New Roman" w:hAnsi="Times New Roman" w:cs="Times New Roman"/>
          <w:sz w:val="26"/>
          <w:szCs w:val="26"/>
        </w:rPr>
        <w:t xml:space="preserve"> деятельности учреждения юстиции по государственной регистрации прав на недвижимое имущество и сделок с ним, подтверждающие, что права на данный объект ими не были зарегистрированы;</w:t>
      </w:r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- постановление о присвоении адреса, выданное уполномоченным органом (в случае необходимости);</w:t>
      </w:r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- заявление собственника об отказе от права собственности на объект (в случае, если собственник имущества известен и отказался от него).</w:t>
      </w:r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2.5. В случае выявления информации о наличии собственника у объекта, включенного в перечень объектов, имеющих признаки бесхозяйного имущества</w:t>
      </w:r>
      <w:r w:rsidR="00953BE9" w:rsidRPr="00D61FDC">
        <w:rPr>
          <w:rFonts w:ascii="Times New Roman" w:hAnsi="Times New Roman" w:cs="Times New Roman"/>
          <w:sz w:val="26"/>
          <w:szCs w:val="26"/>
        </w:rPr>
        <w:t>,</w:t>
      </w:r>
      <w:r w:rsidRPr="00D61FDC">
        <w:rPr>
          <w:rFonts w:ascii="Times New Roman" w:hAnsi="Times New Roman" w:cs="Times New Roman"/>
          <w:sz w:val="26"/>
          <w:szCs w:val="26"/>
        </w:rPr>
        <w:t xml:space="preserve"> Комитет:</w:t>
      </w:r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- направляет собственнику объекта заказным письмом с уведомлением о вручении </w:t>
      </w:r>
      <w:proofErr w:type="gramStart"/>
      <w:r w:rsidRPr="00D61FDC">
        <w:rPr>
          <w:rFonts w:ascii="Times New Roman" w:hAnsi="Times New Roman" w:cs="Times New Roman"/>
          <w:sz w:val="26"/>
          <w:szCs w:val="26"/>
        </w:rPr>
        <w:t>обращение</w:t>
      </w:r>
      <w:proofErr w:type="gramEnd"/>
      <w:r w:rsidRPr="00D61FDC">
        <w:rPr>
          <w:rFonts w:ascii="Times New Roman" w:hAnsi="Times New Roman" w:cs="Times New Roman"/>
          <w:sz w:val="26"/>
          <w:szCs w:val="26"/>
        </w:rPr>
        <w:t xml:space="preserve"> о необходимости использования объекта по назначению либо принятия решения об отказе от права собственности на указанное имущество;</w:t>
      </w:r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1FDC">
        <w:rPr>
          <w:rFonts w:ascii="Times New Roman" w:hAnsi="Times New Roman" w:cs="Times New Roman"/>
          <w:sz w:val="26"/>
          <w:szCs w:val="26"/>
        </w:rPr>
        <w:t>- при неполучении письменного заявления собственника об отказе от права собственности на объект в течение 10 дней со дня получения собственником обращения Комитет со дня истечения указанного срока исключает объект из перечня объектов, имеющих признаки бесхозяйного имущества и прекращает работу по подготовке и направлению в регистрирующий орган документов для постановки объекта на учет в качестве бесхозяйного;</w:t>
      </w:r>
      <w:proofErr w:type="gramEnd"/>
    </w:p>
    <w:p w:rsidR="00AC020B" w:rsidRPr="00D61FDC" w:rsidRDefault="00AC020B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61FDC">
        <w:rPr>
          <w:rFonts w:ascii="Times New Roman" w:hAnsi="Times New Roman" w:cs="Times New Roman"/>
          <w:sz w:val="26"/>
          <w:szCs w:val="26"/>
        </w:rPr>
        <w:t>в случае получения от собственника письменного заявления об отказе от права собственности на объект</w:t>
      </w:r>
      <w:proofErr w:type="gramEnd"/>
      <w:r w:rsidRPr="00D61FDC">
        <w:rPr>
          <w:rFonts w:ascii="Times New Roman" w:hAnsi="Times New Roman" w:cs="Times New Roman"/>
          <w:sz w:val="26"/>
          <w:szCs w:val="26"/>
        </w:rPr>
        <w:t xml:space="preserve"> Комитет возобновляет работу по обращению с пакетом документов в регистрирующий орган для постановки объекта на учет в качестве бесхозяйного.</w:t>
      </w:r>
    </w:p>
    <w:p w:rsidR="00953BE9" w:rsidRPr="00D61FDC" w:rsidRDefault="00953BE9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2.6. По результатам формирования пакета документов об объекте Комитет направляет документы в орган, осуществляющий государственную регистрацию прав на недвижимое имущество и сделок с ним (далее - регистрирующий орган), для постановки объекта на учет в качестве бесхозяйного.</w:t>
      </w:r>
    </w:p>
    <w:p w:rsidR="00953BE9" w:rsidRPr="00D61FDC" w:rsidRDefault="00953BE9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>2.7. После постановки объекта на учет в качестве бесхозяйного в регистрирующем органе, Комитет готовит проект постановления администрации Устьянского муниципального округа Архангельской области:</w:t>
      </w:r>
    </w:p>
    <w:p w:rsidR="00953BE9" w:rsidRPr="00D61FDC" w:rsidRDefault="00953BE9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- о включении объекта в Перечень бесхозяйных объектов (далее - Перечень) </w:t>
      </w:r>
      <w:proofErr w:type="gramStart"/>
      <w:r w:rsidRPr="00D61FDC">
        <w:rPr>
          <w:rFonts w:ascii="Times New Roman" w:hAnsi="Times New Roman" w:cs="Times New Roman"/>
          <w:sz w:val="26"/>
          <w:szCs w:val="26"/>
        </w:rPr>
        <w:t>с даты постановки</w:t>
      </w:r>
      <w:proofErr w:type="gramEnd"/>
      <w:r w:rsidRPr="00D61FDC">
        <w:rPr>
          <w:rFonts w:ascii="Times New Roman" w:hAnsi="Times New Roman" w:cs="Times New Roman"/>
          <w:sz w:val="26"/>
          <w:szCs w:val="26"/>
        </w:rPr>
        <w:t xml:space="preserve"> объекта недвижимого имущества в качестве бесхозяйного в регистрирующем органе до момента возникновения права муниципальной собственности на такой объект.</w:t>
      </w:r>
    </w:p>
    <w:p w:rsidR="00953BE9" w:rsidRPr="00D61FDC" w:rsidRDefault="00953BE9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t xml:space="preserve">2.8. Бесхозяйный объект недвижимого имущества учитывается в Перечне бесхозяйных объектов (далее - Перечень) </w:t>
      </w:r>
      <w:proofErr w:type="gramStart"/>
      <w:r w:rsidRPr="00D61FDC">
        <w:rPr>
          <w:rFonts w:ascii="Times New Roman" w:hAnsi="Times New Roman" w:cs="Times New Roman"/>
          <w:sz w:val="26"/>
          <w:szCs w:val="26"/>
        </w:rPr>
        <w:t>с даты постановки</w:t>
      </w:r>
      <w:proofErr w:type="gramEnd"/>
      <w:r w:rsidRPr="00D61FDC">
        <w:rPr>
          <w:rFonts w:ascii="Times New Roman" w:hAnsi="Times New Roman" w:cs="Times New Roman"/>
          <w:sz w:val="26"/>
          <w:szCs w:val="26"/>
        </w:rPr>
        <w:t xml:space="preserve"> объекта недвижимого имущества в качестве бесхозяйного в регистрирующем органе до момента возникновения права муниципальной собственности на такой объект. Перечень бесхозяйного имущества ведется Комитетом.</w:t>
      </w:r>
    </w:p>
    <w:p w:rsidR="00953BE9" w:rsidRPr="00D61FDC" w:rsidRDefault="00953BE9" w:rsidP="00C70B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1FDC">
        <w:rPr>
          <w:rFonts w:ascii="Times New Roman" w:hAnsi="Times New Roman" w:cs="Times New Roman"/>
          <w:sz w:val="26"/>
          <w:szCs w:val="26"/>
        </w:rPr>
        <w:lastRenderedPageBreak/>
        <w:t>Основанием для включения такого объекта в Перечень является выписка из Единого государственного реестра недвижимости, подтверждающая постановку объекта в качестве бесхозяйного в органе, осуществляющем государственную регистрацию прав.</w:t>
      </w:r>
    </w:p>
    <w:p w:rsidR="00953BE9" w:rsidRPr="00C57F8C" w:rsidRDefault="00953BE9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Эксплуатация таких объектов осуществляется обслуживающей организацией со дня подписания Администрацией </w:t>
      </w:r>
      <w:r w:rsidR="00CF3772" w:rsidRPr="00C57F8C">
        <w:rPr>
          <w:rFonts w:ascii="Times New Roman" w:hAnsi="Times New Roman" w:cs="Times New Roman"/>
          <w:sz w:val="26"/>
          <w:szCs w:val="26"/>
          <w:lang w:val="ru-RU"/>
        </w:rPr>
        <w:t>Устьянского муниципального округа Архангельской области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передаточного акта до признания на такие объекты права собственности или до принятия их во владение, пользование и распоряжение оставившим такие объекты собственнико</w:t>
      </w:r>
      <w:r w:rsidR="00CF3772" w:rsidRPr="00C57F8C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гражданским законодательством.</w:t>
      </w:r>
    </w:p>
    <w:p w:rsidR="00CF3772" w:rsidRPr="00C57F8C" w:rsidRDefault="00C236F4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Комитет </w:t>
      </w:r>
      <w:r w:rsidR="00CF3772" w:rsidRPr="00C57F8C">
        <w:rPr>
          <w:rFonts w:ascii="Times New Roman" w:hAnsi="Times New Roman" w:cs="Times New Roman"/>
          <w:sz w:val="26"/>
          <w:szCs w:val="26"/>
          <w:lang w:val="ru-RU"/>
        </w:rPr>
        <w:t>подготавливает передаточный акт в течени</w:t>
      </w:r>
      <w:proofErr w:type="gramStart"/>
      <w:r w:rsidR="00CF3772" w:rsidRPr="00C57F8C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="00CF3772"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тридцати дней с даты выявления бесхозяйных линейных объектов.</w:t>
      </w:r>
    </w:p>
    <w:p w:rsidR="00CF3772" w:rsidRPr="00C57F8C" w:rsidRDefault="00CF3772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3. Порядок принятия на учет бесхозяйного недвижимого имущества</w:t>
      </w:r>
    </w:p>
    <w:p w:rsidR="00CF3772" w:rsidRPr="00C57F8C" w:rsidRDefault="00CF3772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3.1. Бесхозяйное недвижимое имущество принимается на учет регистрирующим органом в порядке, установленном действующим законодательством.</w:t>
      </w:r>
    </w:p>
    <w:p w:rsidR="00CF3772" w:rsidRPr="00C57F8C" w:rsidRDefault="00CF3772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4. Оформление права собственности на бесхозяйное недвижимое имущество</w:t>
      </w:r>
    </w:p>
    <w:p w:rsidR="00CF3772" w:rsidRPr="00C57F8C" w:rsidRDefault="00CF3772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4.1.</w:t>
      </w: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>Комитет обращается в суд с заявлением о признании права муниципальной собственности по истечении:</w:t>
      </w:r>
    </w:p>
    <w:p w:rsidR="00CF3772" w:rsidRPr="00C57F8C" w:rsidRDefault="00CF3772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одного года со дня принятия бесхозяйного недвижимого имущества на учет в регистрирующем органе</w:t>
      </w:r>
      <w:r w:rsidR="00A41A34" w:rsidRPr="00C57F8C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41A34" w:rsidRPr="00C57F8C" w:rsidRDefault="00A41A34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Pr="00C57F8C">
        <w:rPr>
          <w:rFonts w:ascii="Times New Roman" w:hAnsi="Times New Roman" w:cs="Times New Roman"/>
          <w:sz w:val="26"/>
          <w:szCs w:val="26"/>
          <w:lang w:val="ru-RU"/>
        </w:rPr>
        <w:t xml:space="preserve"> трех месяцев со дня принятия бесхозяйного линейного объекта на учет в регистрирующем органе.</w:t>
      </w:r>
    </w:p>
    <w:p w:rsidR="00A41A34" w:rsidRPr="00C57F8C" w:rsidRDefault="00A41A34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4.2. После вступления в силу решения суда о признании права муниципальной собственности на бесхозяйное недвижимое имущество или линейный объект Комитет обращается в регистрирующий орган с заявлением о государственной регистрации права муниципальной собственности на данный объект недвижимого имущества.</w:t>
      </w:r>
    </w:p>
    <w:p w:rsidR="00A41A34" w:rsidRPr="00C57F8C" w:rsidRDefault="00A41A34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5. Принятие на учет и оформление права собственности бесхозяйных линейных объектов эксплуатирующими организациями</w:t>
      </w:r>
    </w:p>
    <w:p w:rsidR="00A24E96" w:rsidRPr="00C57F8C" w:rsidRDefault="00F7281F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5.1. С заявлением о принятии на учет бесхозяйных линейных объектов наряду с органом местного самоуправления, вправе обратиться лица (пункт 5 статьи 225 ГК), обязанные в соответствии с законом осуществлять эксплуатацию таких линейных объектов.</w:t>
      </w:r>
    </w:p>
    <w:p w:rsidR="00F7281F" w:rsidRPr="00C57F8C" w:rsidRDefault="00F7281F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5.2.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F7281F" w:rsidRPr="00C57F8C" w:rsidRDefault="00F7281F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 </w:t>
      </w:r>
      <w:bookmarkStart w:id="1" w:name="bookmark7"/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Оформление права муниципальной собственности</w:t>
      </w:r>
      <w:r w:rsidR="00C57F8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на бесхозяйные движимые вещи</w:t>
      </w:r>
      <w:bookmarkEnd w:id="1"/>
    </w:p>
    <w:p w:rsidR="00F7281F" w:rsidRPr="00C57F8C" w:rsidRDefault="00F7281F" w:rsidP="00C57F8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lastRenderedPageBreak/>
        <w:t>6.1. Бесхозяйные движимые вещи государственной регистрации не подлежат и поступают в собственность муниципального образования в порядке, предусмотренном статьей 226 Гражданского кодекса Российской Федерации.</w:t>
      </w:r>
    </w:p>
    <w:p w:rsidR="00925046" w:rsidRPr="00C57F8C" w:rsidRDefault="00925046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b/>
          <w:sz w:val="26"/>
          <w:szCs w:val="26"/>
          <w:lang w:val="ru-RU"/>
        </w:rPr>
        <w:t>7. Заключительные положения</w:t>
      </w:r>
    </w:p>
    <w:p w:rsidR="00925046" w:rsidRPr="00C57F8C" w:rsidRDefault="00925046" w:rsidP="00C57F8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F8C">
        <w:rPr>
          <w:rFonts w:ascii="Times New Roman" w:hAnsi="Times New Roman" w:cs="Times New Roman"/>
          <w:sz w:val="26"/>
          <w:szCs w:val="26"/>
          <w:lang w:val="ru-RU"/>
        </w:rPr>
        <w:t>7.1. Вопросы, не урегулированные настоящим Порядком, регламентируются действующим законодательством и иными муниципальными правовыми актами Устьянского муниципального округа Архангельской области.</w:t>
      </w:r>
    </w:p>
    <w:p w:rsidR="00F7281F" w:rsidRPr="00D61FDC" w:rsidRDefault="00F7281F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236F4" w:rsidRDefault="00C236F4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57F8C" w:rsidRPr="00D61FDC" w:rsidRDefault="00C57F8C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C236F4" w:rsidRDefault="00C236F4" w:rsidP="00C70BF2">
      <w:pPr>
        <w:pStyle w:val="11"/>
        <w:shd w:val="clear" w:color="auto" w:fill="auto"/>
        <w:spacing w:before="0" w:line="281" w:lineRule="exact"/>
        <w:ind w:left="20" w:right="20" w:firstLine="709"/>
        <w:rPr>
          <w:sz w:val="26"/>
          <w:szCs w:val="26"/>
          <w:lang w:val="ru-RU"/>
        </w:rPr>
      </w:pP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 к Порядку</w:t>
      </w: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выявления, учета бесхозяйного имущества и регистрация права </w:t>
      </w: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собственности на бесхозяйное имущество, </w:t>
      </w: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61FDC">
        <w:rPr>
          <w:rFonts w:ascii="Times New Roman" w:hAnsi="Times New Roman" w:cs="Times New Roman"/>
          <w:b w:val="0"/>
          <w:sz w:val="26"/>
          <w:szCs w:val="26"/>
        </w:rPr>
        <w:t>расположенное</w:t>
      </w:r>
      <w:proofErr w:type="gramEnd"/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Устьянского муниципального округа</w:t>
      </w: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7B691A" w:rsidRPr="00D61FDC" w:rsidRDefault="007B691A" w:rsidP="007B691A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B691A" w:rsidRPr="00D61FDC" w:rsidRDefault="007B691A" w:rsidP="007B69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АКТ</w:t>
      </w:r>
    </w:p>
    <w:p w:rsidR="007B691A" w:rsidRPr="00D61FDC" w:rsidRDefault="007B691A" w:rsidP="007B69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обследования выявленного бесхозяйного объекта</w:t>
      </w:r>
    </w:p>
    <w:p w:rsidR="007B691A" w:rsidRPr="00D61FDC" w:rsidRDefault="007B691A" w:rsidP="007B69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691A" w:rsidRPr="00D61FDC" w:rsidRDefault="007B691A" w:rsidP="007B691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р.п. </w:t>
      </w:r>
      <w:proofErr w:type="gramStart"/>
      <w:r w:rsidRPr="00D61FDC">
        <w:rPr>
          <w:rFonts w:ascii="Times New Roman" w:hAnsi="Times New Roman" w:cs="Times New Roman"/>
          <w:b w:val="0"/>
          <w:sz w:val="26"/>
          <w:szCs w:val="26"/>
        </w:rPr>
        <w:t>Октябрьский</w:t>
      </w:r>
      <w:proofErr w:type="gramEnd"/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_____________ 20__ года</w:t>
      </w:r>
    </w:p>
    <w:p w:rsidR="007B691A" w:rsidRPr="00D61FDC" w:rsidRDefault="007B691A" w:rsidP="007B691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691A" w:rsidRPr="00D61FDC" w:rsidRDefault="007B691A" w:rsidP="008C4F6D">
      <w:pPr>
        <w:pStyle w:val="11"/>
        <w:shd w:val="clear" w:color="auto" w:fill="auto"/>
        <w:spacing w:before="0" w:after="0"/>
        <w:ind w:right="-1" w:firstLine="300"/>
        <w:rPr>
          <w:sz w:val="26"/>
          <w:szCs w:val="26"/>
          <w:lang w:val="ru-RU"/>
        </w:rPr>
      </w:pPr>
      <w:r w:rsidRPr="00D61FDC">
        <w:rPr>
          <w:sz w:val="26"/>
          <w:szCs w:val="26"/>
          <w:lang w:val="ru-RU"/>
        </w:rPr>
        <w:t>Настоящий акт составлен в соответствии с п. 2 Порядка выявления, содержания и регистрации права муниципальной собственности на бесхозяйное имущество, расположенное на территории Устьянского муниципального округа Архангельской области, о том, что выявлено имущество, имеющее признаки бесхозяйного:</w:t>
      </w:r>
    </w:p>
    <w:p w:rsidR="007B691A" w:rsidRPr="00D61FDC" w:rsidRDefault="007B691A" w:rsidP="008C4F6D">
      <w:pPr>
        <w:pStyle w:val="11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7"/>
        <w:ind w:right="-1" w:firstLine="300"/>
        <w:rPr>
          <w:sz w:val="26"/>
          <w:szCs w:val="26"/>
          <w:lang w:val="ru-RU"/>
        </w:rPr>
      </w:pPr>
      <w:r w:rsidRPr="00D61FDC">
        <w:rPr>
          <w:sz w:val="26"/>
          <w:szCs w:val="26"/>
          <w:lang w:val="ru-RU"/>
        </w:rPr>
        <w:t>Описание технических характеристик (здание, объект незавершенного строительства и т.п.):</w:t>
      </w:r>
    </w:p>
    <w:p w:rsidR="007B691A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адрес: _______________________________________________________________________</w:t>
      </w:r>
    </w:p>
    <w:p w:rsidR="008C4F6D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материал стен ________________________________________________________________</w:t>
      </w:r>
    </w:p>
    <w:p w:rsidR="008C4F6D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этажность ____________________________________________________________________</w:t>
      </w:r>
    </w:p>
    <w:p w:rsidR="008C4F6D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площадь (кв.м.) ______________________________________________________________</w:t>
      </w:r>
    </w:p>
    <w:p w:rsidR="008C4F6D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оборудование (модель, марка) _________________________________________________</w:t>
      </w:r>
    </w:p>
    <w:p w:rsidR="008C4F6D" w:rsidRPr="00D61FDC" w:rsidRDefault="008C4F6D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- год постройки _____________________________________________________________ </w:t>
      </w:r>
    </w:p>
    <w:p w:rsidR="008C4F6D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собственник объекта __________________________________________________________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2. Описание технических характеристик (инженерных сетей, сооружений):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местоположение (</w:t>
      </w:r>
      <w:proofErr w:type="gramStart"/>
      <w:r w:rsidRPr="00D61FDC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 …… до, с привязкой к зданиям, имеющим почтовый адрес) ______________________________________________________________________________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______________________________________________________________________________- способ прокладки _____________________________________________________________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материал, диаметр (</w:t>
      </w:r>
      <w:proofErr w:type="gramStart"/>
      <w:r w:rsidRPr="00D61FDC">
        <w:rPr>
          <w:rFonts w:ascii="Times New Roman" w:hAnsi="Times New Roman" w:cs="Times New Roman"/>
          <w:b w:val="0"/>
          <w:sz w:val="26"/>
          <w:szCs w:val="26"/>
        </w:rPr>
        <w:t>мм</w:t>
      </w:r>
      <w:proofErr w:type="gramEnd"/>
      <w:r w:rsidRPr="00D61FDC">
        <w:rPr>
          <w:rFonts w:ascii="Times New Roman" w:hAnsi="Times New Roman" w:cs="Times New Roman"/>
          <w:b w:val="0"/>
          <w:sz w:val="26"/>
          <w:szCs w:val="26"/>
        </w:rPr>
        <w:t>) 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протяженность, п.м. ___________________________________________________________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количество колодцев _________________________________________________________</w:t>
      </w:r>
    </w:p>
    <w:p w:rsidR="00C9490C" w:rsidRPr="00D61FDC" w:rsidRDefault="00C9490C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количество задвижек _________________________________________________________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марка, напряжение ___________________________________________________________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количество опор светильников 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год постройки ________________________________________________________________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- собственник объекта _________________________________________________________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3. Фотоматериал, приложение на ___ листах.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Иные сведения, полученные в результате обследования: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Обследование проводил: 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______________________________________________________________________________</w:t>
      </w:r>
    </w:p>
    <w:p w:rsidR="00DF3E71" w:rsidRPr="00D61FDC" w:rsidRDefault="00DF3E71" w:rsidP="008C4F6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1FD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(должность, подпись, расшифровка)</w:t>
      </w:r>
    </w:p>
    <w:sectPr w:rsidR="00DF3E71" w:rsidRPr="00D61FDC" w:rsidSect="002856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9D4"/>
    <w:multiLevelType w:val="multilevel"/>
    <w:tmpl w:val="A91C13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E3BF4"/>
    <w:multiLevelType w:val="multilevel"/>
    <w:tmpl w:val="88A48A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D1C25"/>
    <w:multiLevelType w:val="multilevel"/>
    <w:tmpl w:val="E916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C6E9B"/>
    <w:multiLevelType w:val="multilevel"/>
    <w:tmpl w:val="E8964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C146B"/>
    <w:multiLevelType w:val="multilevel"/>
    <w:tmpl w:val="F0D00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F3563"/>
    <w:multiLevelType w:val="multilevel"/>
    <w:tmpl w:val="BCAA7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56C3"/>
    <w:rsid w:val="001003BD"/>
    <w:rsid w:val="001553F0"/>
    <w:rsid w:val="00155A42"/>
    <w:rsid w:val="001B77AB"/>
    <w:rsid w:val="001F0927"/>
    <w:rsid w:val="00206DDF"/>
    <w:rsid w:val="002856C3"/>
    <w:rsid w:val="002A0738"/>
    <w:rsid w:val="002B583E"/>
    <w:rsid w:val="00300683"/>
    <w:rsid w:val="003327ED"/>
    <w:rsid w:val="00386494"/>
    <w:rsid w:val="003D351A"/>
    <w:rsid w:val="00421973"/>
    <w:rsid w:val="004C4D2E"/>
    <w:rsid w:val="00661125"/>
    <w:rsid w:val="00665619"/>
    <w:rsid w:val="006836B2"/>
    <w:rsid w:val="007A7138"/>
    <w:rsid w:val="007B691A"/>
    <w:rsid w:val="008527B9"/>
    <w:rsid w:val="008C4F6D"/>
    <w:rsid w:val="00925046"/>
    <w:rsid w:val="00953BE9"/>
    <w:rsid w:val="00980345"/>
    <w:rsid w:val="0098774C"/>
    <w:rsid w:val="009B731C"/>
    <w:rsid w:val="00A24E96"/>
    <w:rsid w:val="00A41A34"/>
    <w:rsid w:val="00A62B25"/>
    <w:rsid w:val="00AC020B"/>
    <w:rsid w:val="00B72296"/>
    <w:rsid w:val="00BC3EDA"/>
    <w:rsid w:val="00C11141"/>
    <w:rsid w:val="00C236F4"/>
    <w:rsid w:val="00C25FA5"/>
    <w:rsid w:val="00C57B5D"/>
    <w:rsid w:val="00C57F8C"/>
    <w:rsid w:val="00C70BF2"/>
    <w:rsid w:val="00C838A9"/>
    <w:rsid w:val="00C9490C"/>
    <w:rsid w:val="00CC062F"/>
    <w:rsid w:val="00CC2C59"/>
    <w:rsid w:val="00CF3772"/>
    <w:rsid w:val="00D61FDC"/>
    <w:rsid w:val="00DF3E71"/>
    <w:rsid w:val="00F7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56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6561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6561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6561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561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561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561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561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6561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6561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656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6561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656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61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65619"/>
    <w:rPr>
      <w:b/>
      <w:bCs/>
    </w:rPr>
  </w:style>
  <w:style w:type="character" w:styleId="a9">
    <w:name w:val="Emphasis"/>
    <w:uiPriority w:val="20"/>
    <w:qFormat/>
    <w:rsid w:val="0066561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6561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5619"/>
    <w:rPr>
      <w:sz w:val="20"/>
      <w:szCs w:val="20"/>
    </w:rPr>
  </w:style>
  <w:style w:type="paragraph" w:styleId="ac">
    <w:name w:val="List Paragraph"/>
    <w:basedOn w:val="a"/>
    <w:uiPriority w:val="34"/>
    <w:qFormat/>
    <w:rsid w:val="00665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56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561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656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6561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6561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6561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6561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6561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6561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65619"/>
    <w:pPr>
      <w:outlineLvl w:val="9"/>
    </w:pPr>
  </w:style>
  <w:style w:type="paragraph" w:customStyle="1" w:styleId="ConsPlusNormal">
    <w:name w:val="ConsPlusNormal"/>
    <w:rsid w:val="002856C3"/>
    <w:pPr>
      <w:widowControl w:val="0"/>
      <w:autoSpaceDE w:val="0"/>
      <w:autoSpaceDN w:val="0"/>
      <w:spacing w:before="0" w:after="0" w:line="240" w:lineRule="auto"/>
    </w:pPr>
    <w:rPr>
      <w:rFonts w:ascii="Calibri" w:eastAsiaTheme="minorEastAsia" w:hAnsi="Calibri" w:cs="Calibri"/>
      <w:sz w:val="20"/>
      <w:lang w:val="ru-RU" w:eastAsia="ru-RU" w:bidi="ar-SA"/>
    </w:rPr>
  </w:style>
  <w:style w:type="paragraph" w:customStyle="1" w:styleId="ConsPlusNonformat">
    <w:name w:val="ConsPlusNonformat"/>
    <w:rsid w:val="002856C3"/>
    <w:pPr>
      <w:widowControl w:val="0"/>
      <w:autoSpaceDE w:val="0"/>
      <w:autoSpaceDN w:val="0"/>
      <w:spacing w:before="0"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Title">
    <w:name w:val="ConsPlusTitle"/>
    <w:rsid w:val="002856C3"/>
    <w:pPr>
      <w:widowControl w:val="0"/>
      <w:autoSpaceDE w:val="0"/>
      <w:autoSpaceDN w:val="0"/>
      <w:spacing w:before="0" w:after="0" w:line="240" w:lineRule="auto"/>
    </w:pPr>
    <w:rPr>
      <w:rFonts w:ascii="Calibri" w:eastAsiaTheme="minorEastAsia" w:hAnsi="Calibri" w:cs="Calibri"/>
      <w:b/>
      <w:sz w:val="20"/>
      <w:lang w:val="ru-RU" w:eastAsia="ru-RU" w:bidi="ar-SA"/>
    </w:rPr>
  </w:style>
  <w:style w:type="paragraph" w:customStyle="1" w:styleId="ConsPlusTitlePage">
    <w:name w:val="ConsPlusTitlePage"/>
    <w:rsid w:val="002856C3"/>
    <w:pPr>
      <w:widowControl w:val="0"/>
      <w:autoSpaceDE w:val="0"/>
      <w:autoSpaceDN w:val="0"/>
      <w:spacing w:before="0"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856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56C3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11"/>
    <w:rsid w:val="00CC2C59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7"/>
    <w:rsid w:val="00CC2C59"/>
    <w:pPr>
      <w:widowControl w:val="0"/>
      <w:shd w:val="clear" w:color="auto" w:fill="FFFFFF"/>
      <w:spacing w:before="180" w:after="180" w:line="277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31">
    <w:name w:val="Заголовок №3_"/>
    <w:basedOn w:val="a0"/>
    <w:link w:val="32"/>
    <w:rsid w:val="00F7281F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F7281F"/>
    <w:pPr>
      <w:widowControl w:val="0"/>
      <w:shd w:val="clear" w:color="auto" w:fill="FFFFFF"/>
      <w:spacing w:before="0" w:after="180" w:line="284" w:lineRule="exact"/>
      <w:ind w:hanging="1020"/>
      <w:outlineLvl w:val="2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18</cp:revision>
  <cp:lastPrinted>2023-11-01T13:16:00Z</cp:lastPrinted>
  <dcterms:created xsi:type="dcterms:W3CDTF">2023-08-16T10:54:00Z</dcterms:created>
  <dcterms:modified xsi:type="dcterms:W3CDTF">2023-11-01T13:16:00Z</dcterms:modified>
</cp:coreProperties>
</file>